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6" w:lineRule="auto"/>
        <w:rPr>
          <w:rFonts w:ascii="黑体" w:hAnsi="宋体" w:eastAsia="黑体" w:cs="宋体"/>
          <w:kern w:val="0"/>
        </w:rPr>
      </w:pPr>
      <w:r>
        <w:rPr>
          <w:rFonts w:hint="eastAsia" w:ascii="黑体" w:hAnsi="宋体" w:eastAsia="黑体" w:cs="宋体"/>
          <w:kern w:val="0"/>
          <w:sz w:val="24"/>
        </w:rPr>
        <w:t xml:space="preserve">                               </w:t>
      </w:r>
      <w:r>
        <w:rPr>
          <w:rFonts w:hint="eastAsia" w:ascii="黑体" w:hAnsi="宋体" w:eastAsia="黑体" w:cs="宋体"/>
          <w:kern w:val="0"/>
          <w:sz w:val="36"/>
        </w:rPr>
        <w:t>采购</w:t>
      </w:r>
      <w:r>
        <w:rPr>
          <w:rFonts w:ascii="黑体" w:hAnsi="宋体" w:eastAsia="黑体" w:cs="宋体"/>
          <w:kern w:val="0"/>
          <w:sz w:val="36"/>
        </w:rPr>
        <w:t>需求表</w:t>
      </w:r>
    </w:p>
    <w:p>
      <w:pPr>
        <w:spacing w:line="276" w:lineRule="auto"/>
        <w:ind w:left="450"/>
        <w:rPr>
          <w:rFonts w:ascii="黑体" w:hAnsi="宋体" w:eastAsia="黑体" w:cs="宋体"/>
          <w:kern w:val="0"/>
          <w:sz w:val="24"/>
        </w:rPr>
      </w:pPr>
    </w:p>
    <w:p>
      <w:pPr>
        <w:numPr>
          <w:ilvl w:val="0"/>
          <w:numId w:val="3"/>
        </w:numPr>
        <w:spacing w:line="276" w:lineRule="auto"/>
        <w:rPr>
          <w:rFonts w:ascii="黑体" w:hAnsi="宋体" w:eastAsia="黑体" w:cs="宋体"/>
          <w:kern w:val="0"/>
          <w:sz w:val="24"/>
        </w:rPr>
      </w:pPr>
      <w:r>
        <w:rPr>
          <w:rFonts w:hint="eastAsia" w:ascii="黑体" w:hAnsi="宋体" w:eastAsia="黑体" w:cs="宋体"/>
          <w:kern w:val="0"/>
          <w:sz w:val="24"/>
        </w:rPr>
        <w:t>委托采购需求说明（需实现的功能或目的；需满足的服务标准、期限效率等要求）：</w:t>
      </w:r>
    </w:p>
    <w:p>
      <w:pPr>
        <w:pStyle w:val="3"/>
        <w:numPr>
          <w:ilvl w:val="0"/>
          <w:numId w:val="4"/>
        </w:numPr>
        <w:rPr>
          <w:rFonts w:ascii="宋体" w:hAnsi="宋体" w:eastAsia="宋体"/>
          <w:sz w:val="28"/>
        </w:rPr>
      </w:pPr>
      <w:r>
        <w:rPr>
          <w:rFonts w:hint="eastAsia" w:ascii="宋体" w:hAnsi="宋体" w:eastAsia="宋体"/>
          <w:sz w:val="28"/>
        </w:rPr>
        <w:t>项目背景</w:t>
      </w:r>
    </w:p>
    <w:p>
      <w:pPr>
        <w:spacing w:line="360" w:lineRule="auto"/>
        <w:ind w:firstLine="420" w:firstLineChars="200"/>
      </w:pPr>
      <w:r>
        <w:rPr>
          <w:rFonts w:hint="eastAsia"/>
        </w:rPr>
        <w:t>上海音乐学院分为零陵路和汾阳路两个校区，</w:t>
      </w:r>
      <w:r>
        <w:t>两校</w:t>
      </w:r>
      <w:r>
        <w:rPr>
          <w:rFonts w:hint="eastAsia"/>
        </w:rPr>
        <w:t>之间通过专线互联实现互通，默认流量将从零陵路出口统一转发。零陵校区总出口部分节点设备为单设备运行，没有冗余和备份。为进一步提高校园网的安全性和可靠性，避免因某节点的</w:t>
      </w:r>
      <w:r>
        <w:rPr>
          <w:rFonts w:hint="eastAsia" w:asciiTheme="minorEastAsia" w:hAnsiTheme="minorEastAsia"/>
          <w:szCs w:val="21"/>
        </w:rPr>
        <w:t>设备宕机造成业务中断，希望通过本次建设对校园网出口方面进行升级加固，建设完成后能提升校园网运行的稳定性、安全性和可靠性，使得校园网络的基础环境和安全</w:t>
      </w:r>
      <w:r>
        <w:rPr>
          <w:rFonts w:hint="eastAsia"/>
        </w:rPr>
        <w:t>性达到最优。</w:t>
      </w:r>
    </w:p>
    <w:p>
      <w:pPr>
        <w:pStyle w:val="3"/>
        <w:numPr>
          <w:ilvl w:val="0"/>
          <w:numId w:val="4"/>
        </w:numPr>
        <w:rPr>
          <w:rFonts w:ascii="宋体" w:hAnsi="宋体" w:eastAsia="宋体"/>
          <w:sz w:val="28"/>
        </w:rPr>
      </w:pPr>
      <w:r>
        <w:rPr>
          <w:rFonts w:hint="eastAsia" w:ascii="宋体" w:hAnsi="宋体" w:eastAsia="宋体"/>
          <w:sz w:val="28"/>
        </w:rPr>
        <w:t>项目建设内容</w:t>
      </w:r>
    </w:p>
    <w:p>
      <w:pPr>
        <w:spacing w:line="360" w:lineRule="auto"/>
        <w:ind w:firstLine="420" w:firstLineChars="200"/>
      </w:pPr>
      <w:r>
        <w:rPr>
          <w:rFonts w:hint="eastAsia"/>
        </w:rPr>
        <w:t>本项目拟采购网络产品如下：</w:t>
      </w:r>
    </w:p>
    <w:tbl>
      <w:tblPr>
        <w:tblStyle w:val="16"/>
        <w:tblW w:w="8296" w:type="dxa"/>
        <w:tblInd w:w="0" w:type="dxa"/>
        <w:tblLayout w:type="fixed"/>
        <w:tblCellMar>
          <w:top w:w="0" w:type="dxa"/>
          <w:left w:w="108" w:type="dxa"/>
          <w:bottom w:w="0" w:type="dxa"/>
          <w:right w:w="108" w:type="dxa"/>
        </w:tblCellMar>
      </w:tblPr>
      <w:tblGrid>
        <w:gridCol w:w="1138"/>
        <w:gridCol w:w="5666"/>
        <w:gridCol w:w="1492"/>
      </w:tblGrid>
      <w:tr>
        <w:tblPrEx>
          <w:tblLayout w:type="fixed"/>
          <w:tblCellMar>
            <w:top w:w="0" w:type="dxa"/>
            <w:left w:w="108" w:type="dxa"/>
            <w:bottom w:w="0" w:type="dxa"/>
            <w:right w:w="108" w:type="dxa"/>
          </w:tblCellMar>
        </w:tblPrEx>
        <w:trPr>
          <w:trHeight w:val="270" w:hRule="atLeast"/>
        </w:trPr>
        <w:tc>
          <w:tcPr>
            <w:tcW w:w="11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360" w:lineRule="auto"/>
              <w:jc w:val="center"/>
              <w:rPr>
                <w:rFonts w:cs="楷体"/>
              </w:rPr>
            </w:pPr>
            <w:r>
              <w:rPr>
                <w:rFonts w:hint="eastAsia" w:cs="楷体"/>
              </w:rPr>
              <w:t>序号</w:t>
            </w:r>
          </w:p>
        </w:tc>
        <w:tc>
          <w:tcPr>
            <w:tcW w:w="5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cs="楷体"/>
              </w:rPr>
            </w:pPr>
            <w:r>
              <w:rPr>
                <w:rFonts w:hint="eastAsia" w:cs="楷体"/>
              </w:rPr>
              <w:t>产品名称</w:t>
            </w:r>
          </w:p>
        </w:tc>
        <w:tc>
          <w:tcPr>
            <w:tcW w:w="14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cs="楷体"/>
              </w:rPr>
            </w:pPr>
            <w:r>
              <w:rPr>
                <w:rFonts w:hint="eastAsia" w:cs="楷体"/>
              </w:rPr>
              <w:t>数量/单位</w:t>
            </w:r>
          </w:p>
        </w:tc>
      </w:tr>
      <w:tr>
        <w:tblPrEx>
          <w:tblLayout w:type="fixed"/>
          <w:tblCellMar>
            <w:top w:w="0" w:type="dxa"/>
            <w:left w:w="108" w:type="dxa"/>
            <w:bottom w:w="0" w:type="dxa"/>
            <w:right w:w="108" w:type="dxa"/>
          </w:tblCellMar>
        </w:tblPrEx>
        <w:trPr>
          <w:trHeight w:val="433" w:hRule="atLeast"/>
        </w:trPr>
        <w:tc>
          <w:tcPr>
            <w:tcW w:w="11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360" w:lineRule="auto"/>
              <w:jc w:val="center"/>
              <w:rPr>
                <w:rFonts w:cs="楷体"/>
              </w:rPr>
            </w:pPr>
            <w:r>
              <w:rPr>
                <w:rFonts w:cs="楷体"/>
              </w:rPr>
              <w:t>1</w:t>
            </w:r>
          </w:p>
        </w:tc>
        <w:tc>
          <w:tcPr>
            <w:tcW w:w="5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cs="楷体"/>
              </w:rPr>
            </w:pPr>
            <w:r>
              <w:rPr>
                <w:rFonts w:hint="eastAsia" w:cs="楷体"/>
              </w:rPr>
              <w:t>万兆防火墙</w:t>
            </w:r>
          </w:p>
        </w:tc>
        <w:tc>
          <w:tcPr>
            <w:tcW w:w="14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cs="楷体"/>
              </w:rPr>
            </w:pPr>
            <w:r>
              <w:rPr>
                <w:rFonts w:hint="eastAsia" w:cs="楷体"/>
              </w:rPr>
              <w:t>1台</w:t>
            </w:r>
          </w:p>
        </w:tc>
      </w:tr>
    </w:tbl>
    <w:p>
      <w:pPr>
        <w:spacing w:line="360" w:lineRule="auto"/>
        <w:ind w:firstLine="420"/>
        <w:rPr>
          <w:color w:val="000000" w:themeColor="text1"/>
          <w:shd w:val="clear" w:color="auto" w:fill="FFFFFF"/>
          <w14:textFill>
            <w14:solidFill>
              <w14:schemeClr w14:val="tx1"/>
            </w14:solidFill>
          </w14:textFill>
        </w:rPr>
      </w:pPr>
      <w:r>
        <w:rPr>
          <w:rFonts w:hint="eastAsia" w:asciiTheme="minorEastAsia" w:hAnsiTheme="minorEastAsia"/>
          <w:szCs w:val="21"/>
        </w:rPr>
        <w:t>提供的网络产品需要与现网防火墙进行兼容，能够与现网防火墙形成主备冗余模式，解决当前网络的冗余性差、监测预警能力薄弱等问题，进一步提高学校内部和外部网络的稳定性、安全性和可靠性。</w:t>
      </w:r>
      <w:bookmarkStart w:id="0" w:name="_Toc498610624"/>
      <w:bookmarkEnd w:id="0"/>
      <w:bookmarkStart w:id="1" w:name="_Toc498610627"/>
      <w:bookmarkEnd w:id="1"/>
      <w:bookmarkStart w:id="2" w:name="_Toc498610628"/>
      <w:bookmarkEnd w:id="2"/>
    </w:p>
    <w:p>
      <w:pPr>
        <w:pStyle w:val="3"/>
        <w:numPr>
          <w:ilvl w:val="0"/>
          <w:numId w:val="4"/>
        </w:numPr>
        <w:rPr>
          <w:rFonts w:ascii="宋体" w:hAnsi="宋体" w:eastAsia="宋体"/>
          <w:sz w:val="28"/>
        </w:rPr>
      </w:pPr>
      <w:r>
        <w:rPr>
          <w:rFonts w:hint="eastAsia" w:ascii="宋体" w:hAnsi="宋体" w:eastAsia="宋体"/>
          <w:sz w:val="28"/>
        </w:rPr>
        <w:t>产品参数要求</w:t>
      </w:r>
    </w:p>
    <w:p>
      <w:pPr>
        <w:pStyle w:val="37"/>
        <w:numPr>
          <w:ilvl w:val="0"/>
          <w:numId w:val="5"/>
        </w:numPr>
        <w:ind w:firstLineChars="0"/>
        <w:rPr>
          <w:b/>
          <w:bCs/>
        </w:rPr>
      </w:pPr>
      <w:r>
        <w:rPr>
          <w:rFonts w:hint="eastAsia"/>
          <w:b/>
          <w:bCs/>
        </w:rPr>
        <w:t>万兆防火墙</w:t>
      </w:r>
    </w:p>
    <w:tbl>
      <w:tblPr>
        <w:tblStyle w:val="16"/>
        <w:tblW w:w="82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6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8" w:hRule="atLeast"/>
          <w:jc w:val="center"/>
        </w:trPr>
        <w:tc>
          <w:tcPr>
            <w:tcW w:w="1696" w:type="dxa"/>
            <w:shd w:val="clear" w:color="auto" w:fill="D9D9D9"/>
          </w:tcPr>
          <w:p>
            <w:pPr>
              <w:spacing w:line="276" w:lineRule="auto"/>
              <w:rPr>
                <w:b/>
                <w:sz w:val="18"/>
                <w:szCs w:val="18"/>
              </w:rPr>
            </w:pPr>
            <w:r>
              <w:rPr>
                <w:rFonts w:hint="eastAsia"/>
                <w:b/>
                <w:sz w:val="18"/>
                <w:szCs w:val="18"/>
              </w:rPr>
              <w:t>功能项</w:t>
            </w:r>
          </w:p>
        </w:tc>
        <w:tc>
          <w:tcPr>
            <w:tcW w:w="6600" w:type="dxa"/>
            <w:shd w:val="clear" w:color="auto" w:fill="D9D9D9"/>
          </w:tcPr>
          <w:p>
            <w:pPr>
              <w:spacing w:line="276" w:lineRule="auto"/>
              <w:rPr>
                <w:b/>
                <w:sz w:val="18"/>
                <w:szCs w:val="18"/>
              </w:rPr>
            </w:pPr>
            <w:r>
              <w:rPr>
                <w:rFonts w:hint="eastAsia"/>
                <w:b/>
                <w:sz w:val="18"/>
                <w:szCs w:val="18"/>
              </w:rPr>
              <w:t>功能要求说明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8" w:hRule="atLeast"/>
          <w:jc w:val="center"/>
        </w:trPr>
        <w:tc>
          <w:tcPr>
            <w:tcW w:w="1696" w:type="dxa"/>
            <w:vAlign w:val="center"/>
          </w:tcPr>
          <w:p>
            <w:pPr>
              <w:spacing w:line="276" w:lineRule="auto"/>
            </w:pPr>
            <w:r>
              <w:rPr>
                <w:rFonts w:hint="eastAsia"/>
              </w:rPr>
              <w:t>硬件规格要求</w:t>
            </w:r>
          </w:p>
        </w:tc>
        <w:tc>
          <w:tcPr>
            <w:tcW w:w="6600" w:type="dxa"/>
          </w:tcPr>
          <w:p>
            <w:pPr>
              <w:spacing w:line="276" w:lineRule="auto"/>
            </w:pPr>
            <w:r>
              <w:rPr>
                <w:rFonts w:hint="eastAsia"/>
              </w:rPr>
              <w:t>支持冗余电源</w:t>
            </w:r>
            <w:r>
              <w:t>2</w:t>
            </w:r>
            <w:r>
              <w:rPr>
                <w:rFonts w:hint="eastAsia"/>
              </w:rPr>
              <w:t>U机箱，内存≥</w:t>
            </w:r>
            <w:r>
              <w:t>16</w:t>
            </w:r>
            <w:r>
              <w:rPr>
                <w:rFonts w:hint="eastAsia"/>
              </w:rPr>
              <w:t>G，硬盘≥6</w:t>
            </w:r>
            <w:r>
              <w:t>4</w:t>
            </w:r>
            <w:r>
              <w:rPr>
                <w:rFonts w:hint="eastAsia"/>
              </w:rPr>
              <w:t>GB</w:t>
            </w:r>
            <w:r>
              <w:t xml:space="preserve"> </w:t>
            </w:r>
            <w:r>
              <w:rPr>
                <w:rFonts w:hint="eastAsia"/>
              </w:rPr>
              <w:t>MSATA+480GB</w:t>
            </w:r>
            <w:r>
              <w:t xml:space="preserve"> </w:t>
            </w:r>
            <w:r>
              <w:rPr>
                <w:rFonts w:hint="eastAsia"/>
              </w:rPr>
              <w:t>SSD。接口：</w:t>
            </w:r>
            <w:r>
              <w:t>千兆电口</w:t>
            </w:r>
            <w:r>
              <w:rPr>
                <w:rFonts w:hint="eastAsia"/>
              </w:rPr>
              <w:t>≥6、</w:t>
            </w:r>
            <w:r>
              <w:t>万兆光口SFP+</w:t>
            </w:r>
            <w:r>
              <w:rPr>
                <w:rFonts w:hint="eastAsia"/>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8" w:hRule="atLeast"/>
          <w:jc w:val="center"/>
        </w:trPr>
        <w:tc>
          <w:tcPr>
            <w:tcW w:w="1696" w:type="dxa"/>
            <w:vAlign w:val="center"/>
          </w:tcPr>
          <w:p>
            <w:pPr>
              <w:spacing w:line="276" w:lineRule="auto"/>
            </w:pPr>
            <w:r>
              <w:rPr>
                <w:rFonts w:hint="eastAsia"/>
              </w:rPr>
              <w:t>性能要求</w:t>
            </w:r>
          </w:p>
        </w:tc>
        <w:tc>
          <w:tcPr>
            <w:tcW w:w="6600" w:type="dxa"/>
          </w:tcPr>
          <w:p>
            <w:pPr>
              <w:spacing w:line="276" w:lineRule="auto"/>
            </w:pPr>
            <w:r>
              <w:rPr>
                <w:rFonts w:hint="eastAsia"/>
              </w:rPr>
              <w:t>★网络层吞吐量≥ 40G。应用层吞吐量≥</w:t>
            </w:r>
            <w:r>
              <w:t>1</w:t>
            </w:r>
            <w:r>
              <w:rPr>
                <w:rFonts w:hint="eastAsia"/>
              </w:rPr>
              <w:t>2G。并发连接数≥</w:t>
            </w:r>
            <w:r>
              <w:t>4</w:t>
            </w:r>
            <w:r>
              <w:rPr>
                <w:rFonts w:hint="eastAsia"/>
              </w:rPr>
              <w:t>0</w:t>
            </w:r>
            <w:r>
              <w:t>0</w:t>
            </w:r>
            <w:r>
              <w:rPr>
                <w:rFonts w:hint="eastAsia"/>
              </w:rPr>
              <w:t>万。新建连接数≥22万。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8" w:hRule="atLeast"/>
          <w:jc w:val="center"/>
        </w:trPr>
        <w:tc>
          <w:tcPr>
            <w:tcW w:w="1696" w:type="dxa"/>
            <w:vAlign w:val="center"/>
          </w:tcPr>
          <w:p>
            <w:pPr>
              <w:spacing w:line="276" w:lineRule="auto"/>
            </w:pPr>
            <w:r>
              <w:rPr>
                <w:rFonts w:hint="eastAsia"/>
              </w:rPr>
              <w:t>工作模式</w:t>
            </w:r>
          </w:p>
        </w:tc>
        <w:tc>
          <w:tcPr>
            <w:tcW w:w="6600" w:type="dxa"/>
          </w:tcPr>
          <w:p>
            <w:pPr>
              <w:spacing w:line="276" w:lineRule="auto"/>
            </w:pPr>
            <w:bookmarkStart w:id="3" w:name="_Hlk56083575"/>
            <w:r>
              <w:rPr>
                <w:rFonts w:hint="eastAsia"/>
              </w:rPr>
              <w:t>产品支持路由模式、透明模式、虚拟网线模式、旁路镜像模式等多种部署方式。</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8" w:hRule="atLeast"/>
          <w:jc w:val="center"/>
        </w:trPr>
        <w:tc>
          <w:tcPr>
            <w:tcW w:w="1696" w:type="dxa"/>
            <w:vAlign w:val="center"/>
          </w:tcPr>
          <w:p>
            <w:pPr>
              <w:spacing w:line="276" w:lineRule="auto"/>
            </w:pPr>
            <w:r>
              <w:rPr>
                <w:rFonts w:hint="eastAsia"/>
              </w:rPr>
              <w:t>链路状态检测</w:t>
            </w:r>
          </w:p>
        </w:tc>
        <w:tc>
          <w:tcPr>
            <w:tcW w:w="6600" w:type="dxa"/>
          </w:tcPr>
          <w:p>
            <w:pPr>
              <w:spacing w:line="276" w:lineRule="auto"/>
            </w:pPr>
            <w:bookmarkStart w:id="4" w:name="_Hlk34381267"/>
            <w:bookmarkStart w:id="5" w:name="_Hlk56087181"/>
            <w:r>
              <w:rPr>
                <w:rFonts w:hint="eastAsia"/>
              </w:rPr>
              <w:t>产品支持链路健康检查功能，支持基于多种协议对链路可用性进行探测，探测协议至少包括D</w:t>
            </w:r>
            <w:r>
              <w:t>NS</w:t>
            </w:r>
            <w:r>
              <w:rPr>
                <w:rFonts w:hint="eastAsia"/>
              </w:rPr>
              <w:t>解析、A</w:t>
            </w:r>
            <w:r>
              <w:t>RP</w:t>
            </w:r>
            <w:r>
              <w:rPr>
                <w:rFonts w:hint="eastAsia"/>
              </w:rPr>
              <w:t>探测和P</w:t>
            </w:r>
            <w:r>
              <w:t>ING</w:t>
            </w:r>
            <w:r>
              <w:rPr>
                <w:rFonts w:hint="eastAsia"/>
              </w:rPr>
              <w:t>方式</w:t>
            </w:r>
            <w:bookmarkEnd w:id="4"/>
            <w:r>
              <w:rPr>
                <w:rFonts w:hint="eastAsia"/>
              </w:rPr>
              <w:t>。</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8" w:hRule="atLeast"/>
          <w:jc w:val="center"/>
        </w:trPr>
        <w:tc>
          <w:tcPr>
            <w:tcW w:w="1696" w:type="dxa"/>
            <w:vAlign w:val="center"/>
          </w:tcPr>
          <w:p>
            <w:pPr>
              <w:spacing w:line="276" w:lineRule="auto"/>
            </w:pPr>
            <w:r>
              <w:rPr>
                <w:rFonts w:hint="eastAsia"/>
              </w:rPr>
              <w:t>路由特征</w:t>
            </w:r>
          </w:p>
        </w:tc>
        <w:tc>
          <w:tcPr>
            <w:tcW w:w="6600" w:type="dxa"/>
          </w:tcPr>
          <w:p>
            <w:pPr>
              <w:spacing w:line="276" w:lineRule="auto"/>
            </w:pPr>
            <w:bookmarkStart w:id="6" w:name="_Hlk56090033"/>
            <w:r>
              <w:rPr>
                <w:rFonts w:hint="eastAsia"/>
              </w:rPr>
              <w:t>产品支持策略路由负载，支持基于服务、I</w:t>
            </w:r>
            <w:r>
              <w:t>SP</w:t>
            </w:r>
            <w:r>
              <w:rPr>
                <w:rFonts w:hint="eastAsia"/>
              </w:rPr>
              <w:t>地址、应用、地域等维度进行智能选路，保证</w:t>
            </w:r>
            <w:r>
              <w:t>关键业务流量</w:t>
            </w:r>
            <w:r>
              <w:rPr>
                <w:rFonts w:hint="eastAsia"/>
              </w:rPr>
              <w:t>通过</w:t>
            </w:r>
            <w:r>
              <w:t>优质链路转发</w:t>
            </w:r>
            <w:r>
              <w:rPr>
                <w:rFonts w:hint="eastAsia"/>
              </w:rPr>
              <w:t>，支持加权流量、带宽比例、线路优先等负载均衡调度算</w:t>
            </w:r>
            <w:bookmarkEnd w:id="6"/>
            <w:r>
              <w:rPr>
                <w:rFonts w:hint="eastAsia"/>
              </w:rPr>
              <w:t>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8" w:hRule="atLeast"/>
          <w:jc w:val="center"/>
        </w:trPr>
        <w:tc>
          <w:tcPr>
            <w:tcW w:w="1696" w:type="dxa"/>
            <w:vAlign w:val="center"/>
          </w:tcPr>
          <w:p>
            <w:pPr>
              <w:spacing w:line="276" w:lineRule="auto"/>
            </w:pPr>
            <w:r>
              <w:rPr>
                <w:rFonts w:hint="eastAsia"/>
              </w:rPr>
              <w:t>D</w:t>
            </w:r>
            <w:r>
              <w:t>NS</w:t>
            </w:r>
            <w:r>
              <w:rPr>
                <w:rFonts w:hint="eastAsia"/>
              </w:rPr>
              <w:t>代理</w:t>
            </w:r>
          </w:p>
        </w:tc>
        <w:tc>
          <w:tcPr>
            <w:tcW w:w="6600" w:type="dxa"/>
          </w:tcPr>
          <w:p>
            <w:pPr>
              <w:spacing w:line="276" w:lineRule="auto"/>
            </w:pPr>
            <w:bookmarkStart w:id="7" w:name="_Hlk56091899"/>
            <w:r>
              <w:rPr>
                <w:rFonts w:hint="eastAsia"/>
              </w:rPr>
              <w:t>产品支持DNS透明代理功能，避免单运营商DNS解析出现单一链路流量过载，平衡多条运营商线路的带宽利用率。</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8" w:hRule="atLeast"/>
          <w:jc w:val="center"/>
        </w:trPr>
        <w:tc>
          <w:tcPr>
            <w:tcW w:w="1696" w:type="dxa"/>
            <w:vAlign w:val="center"/>
          </w:tcPr>
          <w:p>
            <w:pPr>
              <w:spacing w:line="276" w:lineRule="auto"/>
            </w:pPr>
            <w:r>
              <w:rPr>
                <w:rFonts w:hint="eastAsia"/>
              </w:rPr>
              <w:t>NAT功能</w:t>
            </w:r>
          </w:p>
        </w:tc>
        <w:tc>
          <w:tcPr>
            <w:tcW w:w="6600" w:type="dxa"/>
          </w:tcPr>
          <w:p>
            <w:pPr>
              <w:spacing w:line="276" w:lineRule="auto"/>
            </w:pPr>
            <w:r>
              <w:rPr>
                <w:rFonts w:hint="eastAsia"/>
              </w:rPr>
              <w:t>产品支持支持源地址转换SNAT，目的地址转换DNAT和双向NAT等功能， 支持一对一、一对多、多对一等形式的。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8" w:hRule="atLeast"/>
          <w:jc w:val="center"/>
        </w:trPr>
        <w:tc>
          <w:tcPr>
            <w:tcW w:w="1696" w:type="dxa"/>
            <w:vMerge w:val="restart"/>
            <w:vAlign w:val="center"/>
          </w:tcPr>
          <w:p>
            <w:pPr>
              <w:spacing w:line="276" w:lineRule="auto"/>
            </w:pPr>
            <w:r>
              <w:rPr>
                <w:rFonts w:hint="eastAsia"/>
              </w:rPr>
              <w:t>V</w:t>
            </w:r>
            <w:r>
              <w:t>PN</w:t>
            </w:r>
            <w:r>
              <w:rPr>
                <w:rFonts w:hint="eastAsia"/>
              </w:rPr>
              <w:t>功能</w:t>
            </w:r>
          </w:p>
        </w:tc>
        <w:tc>
          <w:tcPr>
            <w:tcW w:w="6600" w:type="dxa"/>
          </w:tcPr>
          <w:p>
            <w:pPr>
              <w:spacing w:line="276" w:lineRule="auto"/>
            </w:pPr>
            <w:bookmarkStart w:id="8" w:name="_Hlk56174638"/>
            <w:r>
              <w:rPr>
                <w:rFonts w:hint="eastAsia"/>
              </w:rPr>
              <w:t>产品支持IPsec VPN和SSL VPN功能。</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8" w:hRule="atLeast"/>
          <w:jc w:val="center"/>
        </w:trPr>
        <w:tc>
          <w:tcPr>
            <w:tcW w:w="1696" w:type="dxa"/>
            <w:vMerge w:val="continue"/>
            <w:vAlign w:val="center"/>
          </w:tcPr>
          <w:p>
            <w:pPr>
              <w:spacing w:line="276" w:lineRule="auto"/>
            </w:pPr>
          </w:p>
        </w:tc>
        <w:tc>
          <w:tcPr>
            <w:tcW w:w="6600" w:type="dxa"/>
          </w:tcPr>
          <w:p>
            <w:pPr>
              <w:spacing w:line="276" w:lineRule="auto"/>
            </w:pPr>
            <w:bookmarkStart w:id="9" w:name="_Hlk56175110"/>
            <w:r>
              <w:rPr>
                <w:rFonts w:hint="eastAsia"/>
              </w:rPr>
              <w:t>为满足组网兼容性，I</w:t>
            </w:r>
            <w:r>
              <w:t>PS</w:t>
            </w:r>
            <w:r>
              <w:rPr>
                <w:rFonts w:hint="eastAsia"/>
              </w:rPr>
              <w:t>ec</w:t>
            </w:r>
            <w:r>
              <w:t xml:space="preserve"> VPN</w:t>
            </w:r>
            <w:r>
              <w:rPr>
                <w:rFonts w:hint="eastAsia"/>
              </w:rPr>
              <w:t>需支持I</w:t>
            </w:r>
            <w:r>
              <w:t>KE</w:t>
            </w:r>
            <w:r>
              <w:rPr>
                <w:rFonts w:hint="eastAsia"/>
              </w:rPr>
              <w:t>v1和I</w:t>
            </w:r>
            <w:r>
              <w:t>KE</w:t>
            </w:r>
            <w:r>
              <w:rPr>
                <w:rFonts w:hint="eastAsia"/>
              </w:rPr>
              <w:t>v2协议，支持基于主模式和野蛮模式建立加密隧道。</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8" w:hRule="atLeast"/>
          <w:jc w:val="center"/>
        </w:trPr>
        <w:tc>
          <w:tcPr>
            <w:tcW w:w="1696" w:type="dxa"/>
            <w:vMerge w:val="continue"/>
            <w:vAlign w:val="center"/>
          </w:tcPr>
          <w:p>
            <w:pPr>
              <w:spacing w:line="276" w:lineRule="auto"/>
            </w:pPr>
          </w:p>
        </w:tc>
        <w:tc>
          <w:tcPr>
            <w:tcW w:w="6600" w:type="dxa"/>
          </w:tcPr>
          <w:p>
            <w:pPr>
              <w:spacing w:line="276" w:lineRule="auto"/>
            </w:pPr>
            <w:bookmarkStart w:id="10" w:name="_Hlk56174746"/>
            <w:r>
              <w:rPr>
                <w:rFonts w:hint="eastAsia"/>
              </w:rPr>
              <w:t>产品支持I</w:t>
            </w:r>
            <w:r>
              <w:t>PS</w:t>
            </w:r>
            <w:r>
              <w:rPr>
                <w:rFonts w:hint="eastAsia"/>
              </w:rPr>
              <w:t>ec</w:t>
            </w:r>
            <w:r>
              <w:t xml:space="preserve"> VPN</w:t>
            </w:r>
            <w:r>
              <w:rPr>
                <w:rFonts w:hint="eastAsia"/>
              </w:rPr>
              <w:t>智能选路功能，根据线路质量实现自动链路切换</w:t>
            </w:r>
            <w:bookmarkEnd w:id="10"/>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8" w:hRule="atLeast"/>
          <w:jc w:val="center"/>
        </w:trPr>
        <w:tc>
          <w:tcPr>
            <w:tcW w:w="1696" w:type="dxa"/>
            <w:vMerge w:val="continue"/>
            <w:vAlign w:val="center"/>
          </w:tcPr>
          <w:p>
            <w:pPr>
              <w:spacing w:line="276" w:lineRule="auto"/>
            </w:pPr>
          </w:p>
        </w:tc>
        <w:tc>
          <w:tcPr>
            <w:tcW w:w="6600" w:type="dxa"/>
          </w:tcPr>
          <w:p>
            <w:pPr>
              <w:spacing w:line="276" w:lineRule="auto"/>
            </w:pPr>
            <w:bookmarkStart w:id="11" w:name="_Hlk56175434"/>
            <w:r>
              <w:rPr>
                <w:rFonts w:hint="eastAsia"/>
              </w:rPr>
              <w:t>产品支持多种S</w:t>
            </w:r>
            <w:r>
              <w:t>SL VPN</w:t>
            </w:r>
            <w:r>
              <w:rPr>
                <w:rFonts w:hint="eastAsia"/>
              </w:rPr>
              <w:t>用户认证方式，至少包括本地密码认证、L</w:t>
            </w:r>
            <w:r>
              <w:t>ADP</w:t>
            </w:r>
            <w:r>
              <w:rPr>
                <w:rFonts w:hint="eastAsia"/>
              </w:rPr>
              <w:t>认证和硬件特征码认证。</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8" w:hRule="atLeast"/>
          <w:jc w:val="center"/>
        </w:trPr>
        <w:tc>
          <w:tcPr>
            <w:tcW w:w="1696" w:type="dxa"/>
            <w:vAlign w:val="center"/>
          </w:tcPr>
          <w:p>
            <w:pPr>
              <w:spacing w:line="276" w:lineRule="auto"/>
            </w:pPr>
            <w:r>
              <w:rPr>
                <w:rFonts w:hint="eastAsia"/>
              </w:rPr>
              <w:t>访问控制</w:t>
            </w:r>
          </w:p>
        </w:tc>
        <w:tc>
          <w:tcPr>
            <w:tcW w:w="6600" w:type="dxa"/>
          </w:tcPr>
          <w:p>
            <w:pPr>
              <w:spacing w:line="276" w:lineRule="auto"/>
            </w:pPr>
            <w:r>
              <w:rPr>
                <w:rFonts w:hint="eastAsia"/>
              </w:rPr>
              <w:t>产品支持多维度安全策略设置，可基于时间、用户、应用、IP、域名等内容进行安全策略设置。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8" w:hRule="atLeast"/>
          <w:jc w:val="center"/>
        </w:trPr>
        <w:tc>
          <w:tcPr>
            <w:tcW w:w="1696" w:type="dxa"/>
            <w:vAlign w:val="center"/>
          </w:tcPr>
          <w:p>
            <w:pPr>
              <w:spacing w:line="276" w:lineRule="auto"/>
            </w:pPr>
            <w:r>
              <w:rPr>
                <w:rFonts w:hint="eastAsia"/>
              </w:rPr>
              <w:t>应用控制</w:t>
            </w:r>
          </w:p>
        </w:tc>
        <w:tc>
          <w:tcPr>
            <w:tcW w:w="6600" w:type="dxa"/>
          </w:tcPr>
          <w:p>
            <w:pPr>
              <w:spacing w:line="276" w:lineRule="auto"/>
            </w:pPr>
            <w:bookmarkStart w:id="12" w:name="_Hlk56179407"/>
            <w:r>
              <w:rPr>
                <w:rFonts w:hint="eastAsia"/>
              </w:rPr>
              <w:t>产品支持对不少于9880种应用的识别和控制，应用类型包括游戏、购物、图书百科、工作招聘、P</w:t>
            </w:r>
            <w:r>
              <w:t>2P</w:t>
            </w:r>
            <w:r>
              <w:rPr>
                <w:rFonts w:hint="eastAsia"/>
              </w:rPr>
              <w:t>下载、聊天工具、旅游出行、股票</w:t>
            </w:r>
            <w:r>
              <w:t>软件等</w:t>
            </w:r>
            <w:r>
              <w:rPr>
                <w:rFonts w:hint="eastAsia"/>
              </w:rPr>
              <w:t>类型应用进行检测与控制。</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8" w:hRule="atLeast"/>
          <w:jc w:val="center"/>
        </w:trPr>
        <w:tc>
          <w:tcPr>
            <w:tcW w:w="1696" w:type="dxa"/>
            <w:vAlign w:val="center"/>
          </w:tcPr>
          <w:p>
            <w:pPr>
              <w:spacing w:line="276" w:lineRule="auto"/>
            </w:pPr>
            <w:r>
              <w:rPr>
                <w:rFonts w:hint="eastAsia"/>
              </w:rPr>
              <w:t>流量控制</w:t>
            </w:r>
          </w:p>
        </w:tc>
        <w:tc>
          <w:tcPr>
            <w:tcW w:w="6600" w:type="dxa"/>
          </w:tcPr>
          <w:p>
            <w:pPr>
              <w:spacing w:line="276" w:lineRule="auto"/>
            </w:pPr>
            <w:r>
              <w:rPr>
                <w:rFonts w:hint="eastAsia"/>
              </w:rPr>
              <w:t>产品支持基于地区维度设置流控策略，实现多区域流量批量快速管控功能。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8" w:hRule="atLeast"/>
          <w:jc w:val="center"/>
        </w:trPr>
        <w:tc>
          <w:tcPr>
            <w:tcW w:w="1696" w:type="dxa"/>
            <w:vAlign w:val="center"/>
          </w:tcPr>
          <w:p>
            <w:pPr>
              <w:spacing w:line="276" w:lineRule="auto"/>
            </w:pPr>
            <w:r>
              <w:rPr>
                <w:rFonts w:hint="eastAsia"/>
              </w:rPr>
              <w:t>访问控制策略</w:t>
            </w:r>
          </w:p>
        </w:tc>
        <w:tc>
          <w:tcPr>
            <w:tcW w:w="6600" w:type="dxa"/>
          </w:tcPr>
          <w:p>
            <w:pPr>
              <w:spacing w:line="276" w:lineRule="auto"/>
            </w:pPr>
            <w:r>
              <w:rPr>
                <w:rFonts w:hint="eastAsia"/>
              </w:rPr>
              <w:t>产品支持多维度安全策略设置，可基于时间、用户、应用、I</w:t>
            </w:r>
            <w:r>
              <w:t>P</w:t>
            </w:r>
            <w:r>
              <w:rPr>
                <w:rFonts w:hint="eastAsia"/>
              </w:rPr>
              <w:t>、域名等内容进行安全策略设置。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8" w:hRule="atLeast"/>
          <w:jc w:val="center"/>
        </w:trPr>
        <w:tc>
          <w:tcPr>
            <w:tcW w:w="1696" w:type="dxa"/>
            <w:vMerge w:val="restart"/>
            <w:vAlign w:val="center"/>
          </w:tcPr>
          <w:p>
            <w:pPr>
              <w:spacing w:line="276" w:lineRule="auto"/>
            </w:pPr>
            <w:r>
              <w:rPr>
                <w:rFonts w:hint="eastAsia"/>
              </w:rPr>
              <w:t>D</w:t>
            </w:r>
            <w:r>
              <w:t>D</w:t>
            </w:r>
            <w:r>
              <w:rPr>
                <w:rFonts w:hint="eastAsia"/>
              </w:rPr>
              <w:t>oS防护</w:t>
            </w:r>
          </w:p>
        </w:tc>
        <w:tc>
          <w:tcPr>
            <w:tcW w:w="6600" w:type="dxa"/>
          </w:tcPr>
          <w:p>
            <w:pPr>
              <w:spacing w:line="276" w:lineRule="auto"/>
            </w:pPr>
            <w:bookmarkStart w:id="13" w:name="_Hlk57282691"/>
            <w:r>
              <w:rPr>
                <w:rFonts w:hint="eastAsia"/>
              </w:rPr>
              <w:t>产品支持对ICMP、UDP、DNS、</w:t>
            </w:r>
            <w:r>
              <w:t>SYN</w:t>
            </w:r>
            <w:r>
              <w:rPr>
                <w:rFonts w:hint="eastAsia"/>
              </w:rPr>
              <w:t>等协议进行DDOS防护。</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8" w:hRule="atLeast"/>
          <w:jc w:val="center"/>
        </w:trPr>
        <w:tc>
          <w:tcPr>
            <w:tcW w:w="1696" w:type="dxa"/>
            <w:vMerge w:val="continue"/>
            <w:vAlign w:val="center"/>
          </w:tcPr>
          <w:p>
            <w:pPr>
              <w:spacing w:line="276" w:lineRule="auto"/>
            </w:pPr>
          </w:p>
        </w:tc>
        <w:tc>
          <w:tcPr>
            <w:tcW w:w="6600" w:type="dxa"/>
          </w:tcPr>
          <w:p>
            <w:pPr>
              <w:spacing w:line="276" w:lineRule="auto"/>
            </w:pPr>
            <w:bookmarkStart w:id="14" w:name="_Hlk57282730"/>
            <w:r>
              <w:rPr>
                <w:rFonts w:hint="eastAsia"/>
              </w:rPr>
              <w:t>产品支持异常包攻击防御，异常包攻击类型至少包括Ping of Death、Teardrop、Smurf、Land、Win</w:t>
            </w:r>
            <w:r>
              <w:t>N</w:t>
            </w:r>
            <w:r>
              <w:rPr>
                <w:rFonts w:hint="eastAsia"/>
              </w:rPr>
              <w:t>uke等攻击类型。</w:t>
            </w:r>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8" w:hRule="atLeast"/>
          <w:jc w:val="center"/>
        </w:trPr>
        <w:tc>
          <w:tcPr>
            <w:tcW w:w="1696" w:type="dxa"/>
            <w:vAlign w:val="center"/>
          </w:tcPr>
          <w:p>
            <w:pPr>
              <w:spacing w:line="276" w:lineRule="auto"/>
            </w:pPr>
            <w:r>
              <w:rPr>
                <w:rFonts w:hint="eastAsia"/>
              </w:rPr>
              <w:t>文件过滤</w:t>
            </w:r>
          </w:p>
        </w:tc>
        <w:tc>
          <w:tcPr>
            <w:tcW w:w="6600" w:type="dxa"/>
          </w:tcPr>
          <w:p>
            <w:pPr>
              <w:spacing w:line="276" w:lineRule="auto"/>
            </w:pPr>
            <w:bookmarkStart w:id="15" w:name="_Hlk57284408"/>
            <w:r>
              <w:rPr>
                <w:rFonts w:hint="eastAsia"/>
              </w:rPr>
              <w:t>产品支持对文件传输行为进行安全过滤，支持基于上传、下载、双向的文件内容过滤，内容过滤类型至少支持网页、脚本、压缩文件、图片、可执行文件、适配、文本等常见文件类型。</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8" w:hRule="atLeast"/>
          <w:jc w:val="center"/>
        </w:trPr>
        <w:tc>
          <w:tcPr>
            <w:tcW w:w="1696" w:type="dxa"/>
            <w:vAlign w:val="center"/>
          </w:tcPr>
          <w:p>
            <w:pPr>
              <w:spacing w:line="276" w:lineRule="auto"/>
            </w:pPr>
            <w:r>
              <w:rPr>
                <w:rFonts w:hint="eastAsia"/>
              </w:rPr>
              <w:t>加密流量安全防护</w:t>
            </w:r>
          </w:p>
        </w:tc>
        <w:tc>
          <w:tcPr>
            <w:tcW w:w="6600" w:type="dxa"/>
          </w:tcPr>
          <w:p>
            <w:pPr>
              <w:spacing w:line="276" w:lineRule="auto"/>
            </w:pPr>
            <w:bookmarkStart w:id="16" w:name="_Hlk57284504"/>
            <w:r>
              <w:rPr>
                <w:rFonts w:hint="eastAsia"/>
              </w:rPr>
              <w:t>产品支持对HTTPS协议加密流量进行解密，支持配置基于区域、对象、业务类型、服务器I</w:t>
            </w:r>
            <w:r>
              <w:t>P/</w:t>
            </w:r>
            <w:r>
              <w:rPr>
                <w:rFonts w:hint="eastAsia"/>
              </w:rPr>
              <w:t>端口的解密策略。</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8" w:hRule="atLeast"/>
          <w:jc w:val="center"/>
        </w:trPr>
        <w:tc>
          <w:tcPr>
            <w:tcW w:w="1696" w:type="dxa"/>
            <w:vMerge w:val="restart"/>
            <w:vAlign w:val="center"/>
          </w:tcPr>
          <w:p>
            <w:pPr>
              <w:spacing w:line="276" w:lineRule="auto"/>
            </w:pPr>
            <w:r>
              <w:rPr>
                <w:rFonts w:hint="eastAsia"/>
              </w:rPr>
              <w:t>入侵防御</w:t>
            </w:r>
          </w:p>
        </w:tc>
        <w:tc>
          <w:tcPr>
            <w:tcW w:w="6600" w:type="dxa"/>
          </w:tcPr>
          <w:p>
            <w:pPr>
              <w:spacing w:line="276" w:lineRule="auto"/>
            </w:pPr>
            <w:r>
              <w:t>▲</w:t>
            </w:r>
            <w:bookmarkStart w:id="17" w:name="_Hlk57297264"/>
            <w:r>
              <w:rPr>
                <w:rFonts w:hint="eastAsia"/>
              </w:rPr>
              <w:t>产品预定义漏洞特征数量超过76</w:t>
            </w:r>
            <w:r>
              <w:t>0</w:t>
            </w:r>
            <w:r>
              <w:rPr>
                <w:rFonts w:hint="eastAsia"/>
              </w:rPr>
              <w:t>0种，</w:t>
            </w:r>
            <w:bookmarkStart w:id="18" w:name="_Hlk57297665"/>
            <w:r>
              <w:rPr>
                <w:rFonts w:hint="eastAsia"/>
              </w:rPr>
              <w:t>支持在产品漏洞特征库中以漏洞名称、漏洞I</w:t>
            </w:r>
            <w:r>
              <w:t>D</w:t>
            </w:r>
            <w:r>
              <w:rPr>
                <w:rFonts w:hint="eastAsia"/>
              </w:rPr>
              <w:t>、漏洞C</w:t>
            </w:r>
            <w:r>
              <w:t>VE</w:t>
            </w:r>
            <w:r>
              <w:rPr>
                <w:rFonts w:hint="eastAsia"/>
              </w:rPr>
              <w:t>标识、危险等级和漏洞描述等条件快速查询特定漏洞特征信息，支持用户自定义I</w:t>
            </w:r>
            <w:r>
              <w:t>PS</w:t>
            </w:r>
            <w:r>
              <w:rPr>
                <w:rFonts w:hint="eastAsia"/>
              </w:rPr>
              <w:t>规则</w:t>
            </w:r>
            <w:bookmarkEnd w:id="18"/>
            <w:r>
              <w:rPr>
                <w:rFonts w:hint="eastAsia"/>
              </w:rPr>
              <w:t>。</w:t>
            </w:r>
            <w:bookmarkEnd w:id="17"/>
            <w:r>
              <w:rPr>
                <w:rFonts w:hint="eastAsia"/>
              </w:rPr>
              <w:t>（需提供产品功能截图证明）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8" w:hRule="atLeast"/>
          <w:jc w:val="center"/>
        </w:trPr>
        <w:tc>
          <w:tcPr>
            <w:tcW w:w="1696" w:type="dxa"/>
            <w:vMerge w:val="continue"/>
            <w:vAlign w:val="center"/>
          </w:tcPr>
          <w:p>
            <w:pPr>
              <w:spacing w:line="276" w:lineRule="auto"/>
            </w:pPr>
          </w:p>
        </w:tc>
        <w:tc>
          <w:tcPr>
            <w:tcW w:w="6600" w:type="dxa"/>
          </w:tcPr>
          <w:p>
            <w:pPr>
              <w:spacing w:line="276" w:lineRule="auto"/>
            </w:pPr>
            <w:bookmarkStart w:id="19" w:name="_Hlk57298254"/>
            <w:r>
              <w:rPr>
                <w:rFonts w:hint="eastAsia"/>
              </w:rPr>
              <w:t>产品支持基于IMAP、</w:t>
            </w:r>
            <w:r>
              <w:t>FTP</w:t>
            </w:r>
            <w:r>
              <w:rPr>
                <w:rFonts w:hint="eastAsia"/>
              </w:rPr>
              <w:t>、</w:t>
            </w:r>
            <w:r>
              <w:t>RDP</w:t>
            </w:r>
            <w:r>
              <w:rPr>
                <w:rFonts w:hint="eastAsia"/>
              </w:rPr>
              <w:t>、V</w:t>
            </w:r>
            <w:r>
              <w:t>NC</w:t>
            </w:r>
            <w:r>
              <w:rPr>
                <w:rFonts w:hint="eastAsia"/>
              </w:rPr>
              <w:t>、</w:t>
            </w:r>
            <w:r>
              <w:t>SSH</w:t>
            </w:r>
            <w:r>
              <w:rPr>
                <w:rFonts w:hint="eastAsia"/>
              </w:rPr>
              <w:t>、T</w:t>
            </w:r>
            <w:r>
              <w:t>ELNET</w:t>
            </w:r>
            <w:r>
              <w:rPr>
                <w:rFonts w:hint="eastAsia"/>
              </w:rPr>
              <w:t>、</w:t>
            </w:r>
            <w:r>
              <w:t>ORACLE</w:t>
            </w:r>
            <w:r>
              <w:rPr>
                <w:rFonts w:hint="eastAsia"/>
              </w:rPr>
              <w:t>、M</w:t>
            </w:r>
            <w:r>
              <w:t>YSQL</w:t>
            </w:r>
            <w:r>
              <w:rPr>
                <w:rFonts w:hint="eastAsia"/>
              </w:rPr>
              <w:t>、M</w:t>
            </w:r>
            <w:r>
              <w:t>SSQL</w:t>
            </w:r>
            <w:r>
              <w:rPr>
                <w:rFonts w:hint="eastAsia"/>
              </w:rPr>
              <w:t>等应用协议进行深度检测与防护。</w:t>
            </w:r>
            <w:bookmarkEnd w:id="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8" w:hRule="atLeast"/>
          <w:jc w:val="center"/>
        </w:trPr>
        <w:tc>
          <w:tcPr>
            <w:tcW w:w="1696" w:type="dxa"/>
            <w:vMerge w:val="continue"/>
            <w:vAlign w:val="center"/>
          </w:tcPr>
          <w:p>
            <w:pPr>
              <w:spacing w:line="276" w:lineRule="auto"/>
            </w:pPr>
          </w:p>
        </w:tc>
        <w:tc>
          <w:tcPr>
            <w:tcW w:w="6600" w:type="dxa"/>
          </w:tcPr>
          <w:p>
            <w:pPr>
              <w:spacing w:line="276" w:lineRule="auto"/>
            </w:pPr>
            <w:bookmarkStart w:id="20" w:name="_Hlk57302178"/>
            <w:r>
              <w:rPr>
                <w:rFonts w:hint="eastAsia"/>
              </w:rPr>
              <w:t>产品支持僵尸主机检测功能，产品预定义特征库超过110万种，可识别主机的异常外联行为</w:t>
            </w:r>
            <w:bookmarkEnd w:id="20"/>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8" w:hRule="atLeast"/>
          <w:jc w:val="center"/>
        </w:trPr>
        <w:tc>
          <w:tcPr>
            <w:tcW w:w="1696" w:type="dxa"/>
            <w:vMerge w:val="restart"/>
            <w:vAlign w:val="center"/>
          </w:tcPr>
          <w:p>
            <w:pPr>
              <w:spacing w:line="276" w:lineRule="auto"/>
            </w:pPr>
            <w:r>
              <w:rPr>
                <w:rFonts w:hint="eastAsia"/>
              </w:rPr>
              <w:t>Web安全防护</w:t>
            </w:r>
          </w:p>
        </w:tc>
        <w:tc>
          <w:tcPr>
            <w:tcW w:w="6600" w:type="dxa"/>
          </w:tcPr>
          <w:p>
            <w:pPr>
              <w:spacing w:line="276" w:lineRule="auto"/>
            </w:pPr>
            <w:r>
              <w:rPr>
                <w:rFonts w:hint="eastAsia"/>
              </w:rPr>
              <w:t>产品支持对常见Web应用攻击防御，攻击类型至少支持跨站脚本（XSS）攻击、SQL注入、文件包含攻击、信息泄露攻击、WEBSHELL、网站扫描、网页木马等类型，产品预定义Web应用漏洞特征库超过3320种。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8" w:hRule="atLeast"/>
          <w:jc w:val="center"/>
        </w:trPr>
        <w:tc>
          <w:tcPr>
            <w:tcW w:w="1696" w:type="dxa"/>
            <w:vMerge w:val="continue"/>
            <w:vAlign w:val="center"/>
          </w:tcPr>
          <w:p>
            <w:pPr>
              <w:spacing w:line="276" w:lineRule="auto"/>
            </w:pPr>
          </w:p>
        </w:tc>
        <w:tc>
          <w:tcPr>
            <w:tcW w:w="6600" w:type="dxa"/>
          </w:tcPr>
          <w:p>
            <w:pPr>
              <w:spacing w:line="276" w:lineRule="auto"/>
            </w:pPr>
            <w:r>
              <w:rPr>
                <w:rFonts w:hint="eastAsia"/>
              </w:rPr>
              <w:t>产品支持未知威胁检测能力，需提供公安部计算机信息系统安全产品质量监督检验中心、中国信息安全测评中心、中华人民共和国国家版权局、公安部信息安全产品检测中心之中任意一家检测机构出具关于“未知威胁检测”的证书或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9" w:hRule="exact"/>
          <w:jc w:val="center"/>
        </w:trPr>
        <w:tc>
          <w:tcPr>
            <w:tcW w:w="1696" w:type="dxa"/>
            <w:vMerge w:val="continue"/>
            <w:vAlign w:val="center"/>
          </w:tcPr>
          <w:p>
            <w:pPr>
              <w:spacing w:line="276" w:lineRule="auto"/>
            </w:pPr>
          </w:p>
        </w:tc>
        <w:tc>
          <w:tcPr>
            <w:tcW w:w="6600" w:type="dxa"/>
          </w:tcPr>
          <w:p>
            <w:pPr>
              <w:spacing w:line="276" w:lineRule="auto"/>
            </w:pPr>
            <w:r>
              <w:rPr>
                <w:rFonts w:hint="eastAsia"/>
              </w:rPr>
              <w:t>产品支持对请求报文头的X-Forward-For字段检测，并对非法源IP进行日志记录和联动封锁。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8" w:hRule="atLeast"/>
          <w:jc w:val="center"/>
        </w:trPr>
        <w:tc>
          <w:tcPr>
            <w:tcW w:w="1696" w:type="dxa"/>
            <w:vAlign w:val="center"/>
          </w:tcPr>
          <w:p>
            <w:pPr>
              <w:spacing w:line="276" w:lineRule="auto"/>
            </w:pPr>
            <w:r>
              <w:rPr>
                <w:rFonts w:hint="eastAsia"/>
              </w:rPr>
              <w:t>账号安全</w:t>
            </w:r>
          </w:p>
        </w:tc>
        <w:tc>
          <w:tcPr>
            <w:tcW w:w="6600" w:type="dxa"/>
          </w:tcPr>
          <w:p>
            <w:pPr>
              <w:spacing w:line="276" w:lineRule="auto"/>
            </w:pPr>
            <w:bookmarkStart w:id="21" w:name="_Hlk57311075"/>
            <w:r>
              <w:rPr>
                <w:rFonts w:hint="eastAsia"/>
              </w:rPr>
              <w:t>产品支持用户账号全生命周期保护功能，包括用户账号多余入口检测、用户账号弱口令检测、用户账号暴力破解检测、失陷账号检测，防止因账号被暴力破解导致的非法提权情况发生。</w:t>
            </w:r>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8" w:hRule="atLeast"/>
          <w:jc w:val="center"/>
        </w:trPr>
        <w:tc>
          <w:tcPr>
            <w:tcW w:w="1696" w:type="dxa"/>
            <w:vAlign w:val="center"/>
          </w:tcPr>
          <w:p>
            <w:pPr>
              <w:spacing w:line="276" w:lineRule="auto"/>
            </w:pPr>
            <w:r>
              <w:rPr>
                <w:rFonts w:hint="eastAsia"/>
              </w:rPr>
              <w:t>策略有效性分析</w:t>
            </w:r>
          </w:p>
        </w:tc>
        <w:tc>
          <w:tcPr>
            <w:tcW w:w="6600" w:type="dxa"/>
          </w:tcPr>
          <w:p>
            <w:pPr>
              <w:spacing w:line="276" w:lineRule="auto"/>
            </w:pPr>
            <w:bookmarkStart w:id="22" w:name="_Hlk57315111"/>
            <w:r>
              <w:rPr>
                <w:rFonts w:hint="eastAsia"/>
              </w:rPr>
              <w:t>产品支持安全策略有效性分析功能，分析内容至少包括策略冗余分析、策略匹配分析、风险端口风险等内容，提供安全策略优化建议。</w:t>
            </w:r>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8" w:hRule="atLeast"/>
          <w:jc w:val="center"/>
        </w:trPr>
        <w:tc>
          <w:tcPr>
            <w:tcW w:w="1696" w:type="dxa"/>
            <w:vAlign w:val="center"/>
          </w:tcPr>
          <w:p>
            <w:pPr>
              <w:spacing w:line="276" w:lineRule="auto"/>
            </w:pPr>
            <w:r>
              <w:rPr>
                <w:rFonts w:hint="eastAsia"/>
              </w:rPr>
              <w:t>策略生命周期管理</w:t>
            </w:r>
          </w:p>
        </w:tc>
        <w:tc>
          <w:tcPr>
            <w:tcW w:w="6600" w:type="dxa"/>
          </w:tcPr>
          <w:p>
            <w:pPr>
              <w:spacing w:line="276" w:lineRule="auto"/>
            </w:pPr>
            <w:r>
              <w:t>▲</w:t>
            </w:r>
            <w:bookmarkStart w:id="23" w:name="_Hlk57315496"/>
            <w:r>
              <w:rPr>
                <w:rFonts w:hint="eastAsia"/>
              </w:rPr>
              <w:t>产品支持策略生命周期管理功能，支持对安全策略修改的时间、原因、变更类型进行统一管理，便于策略的运维与管理。</w:t>
            </w:r>
            <w:bookmarkEnd w:id="23"/>
            <w:r>
              <w:rPr>
                <w:rFonts w:hint="eastAsia"/>
              </w:rPr>
              <w:t>（需提供产品功能截图证明）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8" w:hRule="atLeast"/>
          <w:jc w:val="center"/>
        </w:trPr>
        <w:tc>
          <w:tcPr>
            <w:tcW w:w="1696" w:type="dxa"/>
            <w:vAlign w:val="center"/>
          </w:tcPr>
          <w:p>
            <w:pPr>
              <w:spacing w:line="276" w:lineRule="auto"/>
            </w:pPr>
            <w:r>
              <w:rPr>
                <w:rFonts w:hint="eastAsia"/>
              </w:rPr>
              <w:t>双机部署</w:t>
            </w:r>
          </w:p>
        </w:tc>
        <w:tc>
          <w:tcPr>
            <w:tcW w:w="6600" w:type="dxa"/>
          </w:tcPr>
          <w:p>
            <w:pPr>
              <w:spacing w:line="276" w:lineRule="auto"/>
            </w:pPr>
            <w:bookmarkStart w:id="24" w:name="_Hlk57316621"/>
            <w:r>
              <w:rPr>
                <w:rFonts w:hint="eastAsia"/>
              </w:rPr>
              <w:t>产品支持主主、主备两种双机模式部署。</w:t>
            </w:r>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8" w:hRule="atLeast"/>
          <w:jc w:val="center"/>
        </w:trPr>
        <w:tc>
          <w:tcPr>
            <w:tcW w:w="1696" w:type="dxa"/>
            <w:vAlign w:val="center"/>
          </w:tcPr>
          <w:p>
            <w:pPr>
              <w:spacing w:line="276" w:lineRule="auto"/>
            </w:pPr>
            <w:r>
              <w:rPr>
                <w:rFonts w:hint="eastAsia"/>
              </w:rPr>
              <w:t>管理方式</w:t>
            </w:r>
          </w:p>
        </w:tc>
        <w:tc>
          <w:tcPr>
            <w:tcW w:w="6600" w:type="dxa"/>
          </w:tcPr>
          <w:p>
            <w:pPr>
              <w:spacing w:line="276" w:lineRule="auto"/>
            </w:pPr>
            <w:bookmarkStart w:id="25" w:name="_Hlk57316812"/>
            <w:r>
              <w:rPr>
                <w:rFonts w:hint="eastAsia"/>
              </w:rPr>
              <w:t>产品支持Web管理、串口管理、SSH管理等多种不同方式。</w:t>
            </w:r>
            <w:bookmarkEnd w:id="2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 w:hRule="atLeast"/>
          <w:jc w:val="center"/>
        </w:trPr>
        <w:tc>
          <w:tcPr>
            <w:tcW w:w="1696" w:type="dxa"/>
            <w:vAlign w:val="center"/>
          </w:tcPr>
          <w:p>
            <w:pPr>
              <w:spacing w:line="276" w:lineRule="auto"/>
            </w:pPr>
            <w:r>
              <w:rPr>
                <w:rFonts w:hint="eastAsia"/>
              </w:rPr>
              <w:t>双因素认证</w:t>
            </w:r>
          </w:p>
        </w:tc>
        <w:tc>
          <w:tcPr>
            <w:tcW w:w="6600" w:type="dxa"/>
          </w:tcPr>
          <w:p>
            <w:pPr>
              <w:spacing w:line="276" w:lineRule="auto"/>
            </w:pPr>
            <w:bookmarkStart w:id="26" w:name="_Hlk57318031"/>
            <w:r>
              <w:t>▲</w:t>
            </w:r>
            <w:bookmarkStart w:id="27" w:name="_Hlk57319226"/>
            <w:r>
              <w:rPr>
                <w:rFonts w:hint="eastAsia"/>
              </w:rPr>
              <w:t>产品支持管理员双因素认证功能，用户通过用户名/密码和Key等不同方式登陆产品管理界面。</w:t>
            </w:r>
            <w:bookmarkEnd w:id="26"/>
            <w:bookmarkEnd w:id="2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9" w:hRule="atLeast"/>
          <w:jc w:val="center"/>
        </w:trPr>
        <w:tc>
          <w:tcPr>
            <w:tcW w:w="1696" w:type="dxa"/>
            <w:vAlign w:val="center"/>
          </w:tcPr>
          <w:p>
            <w:pPr>
              <w:spacing w:line="276" w:lineRule="auto"/>
            </w:pPr>
            <w:r>
              <w:rPr>
                <w:rFonts w:hint="eastAsia"/>
              </w:rPr>
              <w:t>产品资质</w:t>
            </w:r>
          </w:p>
        </w:tc>
        <w:tc>
          <w:tcPr>
            <w:tcW w:w="6600" w:type="dxa"/>
          </w:tcPr>
          <w:p>
            <w:pPr>
              <w:spacing w:line="276" w:lineRule="auto"/>
            </w:pPr>
            <w:r>
              <w:t>▲</w:t>
            </w:r>
            <w:r>
              <w:rPr>
                <w:rFonts w:hint="eastAsia"/>
              </w:rPr>
              <w:t>要求所投产品具备中国国家信息安全产品认证证书，提供证明材料。</w:t>
            </w:r>
          </w:p>
        </w:tc>
      </w:tr>
    </w:tbl>
    <w:p>
      <w:pPr>
        <w:rPr>
          <w:b/>
          <w:bCs/>
        </w:rPr>
      </w:pPr>
    </w:p>
    <w:p>
      <w:pPr>
        <w:pStyle w:val="3"/>
        <w:numPr>
          <w:ilvl w:val="0"/>
          <w:numId w:val="4"/>
        </w:numPr>
        <w:rPr>
          <w:rFonts w:ascii="宋体" w:hAnsi="宋体" w:eastAsia="宋体"/>
          <w:sz w:val="28"/>
        </w:rPr>
      </w:pPr>
      <w:r>
        <w:rPr>
          <w:rFonts w:hint="eastAsia" w:ascii="宋体" w:hAnsi="宋体" w:eastAsia="宋体"/>
          <w:sz w:val="28"/>
        </w:rPr>
        <w:t>技术方案要求</w:t>
      </w:r>
    </w:p>
    <w:p>
      <w:pPr>
        <w:pStyle w:val="11"/>
        <w:rPr>
          <w:rFonts w:ascii="宋体" w:hAnsi="宋体"/>
          <w:sz w:val="21"/>
          <w:szCs w:val="21"/>
        </w:rPr>
      </w:pPr>
      <w:r>
        <w:rPr>
          <w:rFonts w:hint="eastAsia" w:ascii="宋体" w:hAnsi="宋体"/>
          <w:sz w:val="21"/>
          <w:szCs w:val="21"/>
        </w:rPr>
        <w:t>在项目总体设计上要求采用行业内先进的技术，做到功能完善、系统先进、安全稳定、拓展性强，兼容和开放性强。为此，要求如下：</w:t>
      </w:r>
    </w:p>
    <w:p>
      <w:pPr>
        <w:pStyle w:val="11"/>
        <w:widowControl/>
        <w:numPr>
          <w:ilvl w:val="0"/>
          <w:numId w:val="6"/>
        </w:numPr>
        <w:adjustRightInd w:val="0"/>
        <w:snapToGrid w:val="0"/>
        <w:ind w:firstLineChars="0"/>
        <w:jc w:val="left"/>
        <w:rPr>
          <w:rFonts w:ascii="宋体" w:hAnsi="宋体"/>
          <w:sz w:val="21"/>
          <w:szCs w:val="21"/>
        </w:rPr>
      </w:pPr>
      <w:r>
        <w:rPr>
          <w:rFonts w:hint="eastAsia" w:ascii="宋体" w:hAnsi="宋体"/>
          <w:sz w:val="21"/>
          <w:szCs w:val="21"/>
        </w:rPr>
        <w:t>为保证项目的实施能满足学校目前及未来的需求，本项目为非纯设备采购项目，投标人须充分理解学校网络现状，结合学校现状及本次项目建设内容，提供合理、完整、详细的技术设计方案，包括但不限于详细设计方案、设备规划方案、实施方案等。</w:t>
      </w:r>
    </w:p>
    <w:p>
      <w:pPr>
        <w:pStyle w:val="11"/>
        <w:widowControl/>
        <w:numPr>
          <w:ilvl w:val="0"/>
          <w:numId w:val="6"/>
        </w:numPr>
        <w:adjustRightInd w:val="0"/>
        <w:snapToGrid w:val="0"/>
        <w:ind w:firstLineChars="0"/>
        <w:jc w:val="left"/>
        <w:rPr>
          <w:rFonts w:ascii="宋体" w:hAnsi="宋体"/>
          <w:sz w:val="21"/>
          <w:szCs w:val="21"/>
        </w:rPr>
      </w:pPr>
      <w:r>
        <w:rPr>
          <w:rFonts w:hint="eastAsia"/>
          <w:sz w:val="21"/>
          <w:szCs w:val="21"/>
        </w:rPr>
        <w:t>为</w:t>
      </w:r>
      <w:r>
        <w:rPr>
          <w:rFonts w:hint="eastAsia" w:ascii="宋体" w:hAnsi="宋体" w:cs="宋体"/>
          <w:sz w:val="21"/>
          <w:szCs w:val="21"/>
        </w:rPr>
        <w:t>提高学校原有设备的利用率，保护学校原有设备的投资，投标人提供的设备</w:t>
      </w:r>
      <w:r>
        <w:rPr>
          <w:rFonts w:hint="eastAsia" w:ascii="宋体" w:hAnsi="宋体" w:cs="宋体"/>
          <w:bCs/>
          <w:color w:val="000000"/>
          <w:sz w:val="21"/>
          <w:szCs w:val="21"/>
        </w:rPr>
        <w:t>必须能和学校现有的硬件设备兼容，须提供详细的兼容方案。</w:t>
      </w:r>
    </w:p>
    <w:p>
      <w:pPr>
        <w:pStyle w:val="11"/>
        <w:widowControl/>
        <w:numPr>
          <w:ilvl w:val="0"/>
          <w:numId w:val="6"/>
        </w:numPr>
        <w:adjustRightInd w:val="0"/>
        <w:snapToGrid w:val="0"/>
        <w:ind w:firstLineChars="0"/>
        <w:jc w:val="left"/>
        <w:rPr>
          <w:rFonts w:ascii="宋体" w:hAnsi="宋体"/>
          <w:sz w:val="21"/>
          <w:szCs w:val="21"/>
        </w:rPr>
      </w:pPr>
      <w:r>
        <w:rPr>
          <w:rFonts w:hint="eastAsia" w:ascii="宋体" w:hAnsi="宋体"/>
          <w:sz w:val="21"/>
          <w:szCs w:val="21"/>
        </w:rPr>
        <w:t>招标文件中相关技术参数和服务要求为基本要求，并非充分条件，</w:t>
      </w:r>
      <w:r>
        <w:rPr>
          <w:rFonts w:hint="eastAsia" w:ascii="宋体" w:hAnsi="宋体" w:cs="宋体"/>
          <w:sz w:val="21"/>
          <w:szCs w:val="21"/>
        </w:rPr>
        <w:t>各投标人应根据自身所提供产品补充完善相关细节，</w:t>
      </w:r>
      <w:r>
        <w:rPr>
          <w:rFonts w:ascii="宋体" w:hAnsi="宋体" w:cs="宋体"/>
          <w:sz w:val="21"/>
          <w:szCs w:val="21"/>
        </w:rPr>
        <w:t>但所投产品的性能</w:t>
      </w:r>
      <w:r>
        <w:rPr>
          <w:rFonts w:hint="eastAsia" w:ascii="宋体" w:hAnsi="宋体" w:cs="宋体"/>
          <w:sz w:val="21"/>
          <w:szCs w:val="21"/>
        </w:rPr>
        <w:t>及</w:t>
      </w:r>
      <w:r>
        <w:rPr>
          <w:rFonts w:ascii="宋体" w:hAnsi="宋体" w:cs="宋体"/>
          <w:sz w:val="21"/>
          <w:szCs w:val="21"/>
        </w:rPr>
        <w:t>参数指标不得低于招标要求</w:t>
      </w:r>
      <w:r>
        <w:rPr>
          <w:rFonts w:hint="eastAsia" w:ascii="宋体" w:hAnsi="宋体" w:cs="宋体"/>
          <w:sz w:val="21"/>
          <w:szCs w:val="21"/>
        </w:rPr>
        <w:t>。</w:t>
      </w:r>
    </w:p>
    <w:p>
      <w:pPr>
        <w:pStyle w:val="3"/>
        <w:numPr>
          <w:ilvl w:val="0"/>
          <w:numId w:val="4"/>
        </w:numPr>
        <w:rPr>
          <w:rFonts w:ascii="宋体" w:hAnsi="宋体" w:eastAsia="宋体"/>
          <w:sz w:val="28"/>
        </w:rPr>
      </w:pPr>
      <w:bookmarkStart w:id="28" w:name="_Toc498610657"/>
      <w:bookmarkEnd w:id="28"/>
      <w:bookmarkStart w:id="29" w:name="_Toc498610630"/>
      <w:bookmarkEnd w:id="29"/>
      <w:bookmarkStart w:id="30" w:name="_Toc498608149"/>
      <w:r>
        <w:rPr>
          <w:rFonts w:hint="eastAsia" w:ascii="宋体" w:hAnsi="宋体" w:eastAsia="宋体"/>
          <w:sz w:val="28"/>
        </w:rPr>
        <w:t>售后服务</w:t>
      </w:r>
      <w:bookmarkEnd w:id="30"/>
    </w:p>
    <w:p>
      <w:pPr>
        <w:pStyle w:val="11"/>
        <w:widowControl/>
        <w:numPr>
          <w:ilvl w:val="0"/>
          <w:numId w:val="7"/>
        </w:numPr>
        <w:adjustRightInd w:val="0"/>
        <w:snapToGrid w:val="0"/>
        <w:ind w:firstLineChars="0"/>
        <w:jc w:val="left"/>
        <w:rPr>
          <w:sz w:val="21"/>
          <w:szCs w:val="21"/>
        </w:rPr>
      </w:pPr>
      <w:r>
        <w:rPr>
          <w:sz w:val="21"/>
          <w:szCs w:val="21"/>
        </w:rPr>
        <w:t>售后服务期：售后服务质保期</w:t>
      </w:r>
      <w:r>
        <w:rPr>
          <w:rFonts w:hint="eastAsia"/>
          <w:sz w:val="21"/>
          <w:szCs w:val="21"/>
        </w:rPr>
        <w:t>三年</w:t>
      </w:r>
      <w:r>
        <w:rPr>
          <w:sz w:val="21"/>
          <w:szCs w:val="21"/>
        </w:rPr>
        <w:t>，质保日期从验收报告日起计算；在服务质保期内，若在此期间有任何质量问题发生，中标方应免费提供维修和更换服务。中标方负责全部的设备维护、维修和其他故障处理，保证数据中心的正常运行，在接到用户服务要求时，必须在</w:t>
      </w:r>
      <w:r>
        <w:rPr>
          <w:rFonts w:hint="eastAsia"/>
          <w:sz w:val="21"/>
          <w:szCs w:val="21"/>
        </w:rPr>
        <w:t>30分钟</w:t>
      </w:r>
      <w:r>
        <w:rPr>
          <w:sz w:val="21"/>
          <w:szCs w:val="21"/>
        </w:rPr>
        <w:t>内电话响应，</w:t>
      </w:r>
      <w:r>
        <w:rPr>
          <w:rFonts w:hint="eastAsia"/>
          <w:sz w:val="21"/>
          <w:szCs w:val="21"/>
        </w:rPr>
        <w:t>3</w:t>
      </w:r>
      <w:r>
        <w:rPr>
          <w:sz w:val="21"/>
          <w:szCs w:val="21"/>
        </w:rPr>
        <w:t>小时内现场响应服务。</w:t>
      </w:r>
    </w:p>
    <w:p>
      <w:pPr>
        <w:pStyle w:val="11"/>
        <w:widowControl/>
        <w:numPr>
          <w:ilvl w:val="0"/>
          <w:numId w:val="7"/>
        </w:numPr>
        <w:adjustRightInd w:val="0"/>
        <w:snapToGrid w:val="0"/>
        <w:ind w:firstLineChars="0"/>
        <w:jc w:val="left"/>
        <w:rPr>
          <w:sz w:val="21"/>
          <w:szCs w:val="21"/>
        </w:rPr>
      </w:pPr>
      <w:r>
        <w:rPr>
          <w:sz w:val="21"/>
          <w:szCs w:val="21"/>
        </w:rPr>
        <w:t>主要设备需提供不少于3年的原厂质保服务，需提供原厂盖章的售后服务承诺函。</w:t>
      </w:r>
    </w:p>
    <w:p>
      <w:pPr>
        <w:pStyle w:val="11"/>
        <w:widowControl/>
        <w:numPr>
          <w:ilvl w:val="0"/>
          <w:numId w:val="7"/>
        </w:numPr>
        <w:adjustRightInd w:val="0"/>
        <w:snapToGrid w:val="0"/>
        <w:ind w:firstLineChars="0"/>
        <w:jc w:val="left"/>
        <w:rPr>
          <w:sz w:val="21"/>
          <w:szCs w:val="21"/>
        </w:rPr>
      </w:pPr>
      <w:r>
        <w:rPr>
          <w:sz w:val="21"/>
          <w:szCs w:val="21"/>
        </w:rPr>
        <w:t>投标人应响应本次项目售后服务要求并在投标文件中提供详细具体的售后服务方案（包括但不限于售后服务承诺、服务流程、服务内容、应急措施和方案等），也可视自身能力在投标文件中提供更优、更合理的售后服务承诺。</w:t>
      </w:r>
    </w:p>
    <w:p>
      <w:pPr>
        <w:pStyle w:val="3"/>
        <w:numPr>
          <w:ilvl w:val="0"/>
          <w:numId w:val="4"/>
        </w:numPr>
        <w:rPr>
          <w:rFonts w:ascii="宋体" w:hAnsi="宋体" w:eastAsia="宋体"/>
          <w:sz w:val="28"/>
        </w:rPr>
      </w:pPr>
      <w:r>
        <w:rPr>
          <w:rFonts w:hint="eastAsia" w:ascii="宋体" w:hAnsi="宋体" w:eastAsia="宋体"/>
          <w:sz w:val="28"/>
        </w:rPr>
        <w:t>培训要求</w:t>
      </w:r>
    </w:p>
    <w:p>
      <w:pPr>
        <w:spacing w:line="360" w:lineRule="auto"/>
        <w:ind w:firstLine="420" w:firstLineChars="200"/>
      </w:pPr>
      <w:r>
        <w:rPr>
          <w:rFonts w:hint="eastAsia"/>
        </w:rPr>
        <w:t>项目</w:t>
      </w:r>
      <w:r>
        <w:t>实施完成后，由投标</w:t>
      </w:r>
      <w:r>
        <w:rPr>
          <w:rFonts w:hint="eastAsia"/>
        </w:rPr>
        <w:t>人安排</w:t>
      </w:r>
      <w:r>
        <w:t>组织，为招标人提供现场技术培训，投标书中需</w:t>
      </w:r>
      <w:r>
        <w:rPr>
          <w:rFonts w:hint="eastAsia"/>
        </w:rPr>
        <w:t>提供</w:t>
      </w:r>
      <w:r>
        <w:t>完整的培训方案和培训计划。</w:t>
      </w:r>
    </w:p>
    <w:p>
      <w:pPr>
        <w:spacing w:line="360" w:lineRule="auto"/>
        <w:ind w:firstLine="420" w:firstLineChars="200"/>
      </w:pPr>
      <w:r>
        <w:t>培训内容包括（但不限于）：系统的拓扑结构、软硬件的的安装、配置方法，常见故障的处理等。</w:t>
      </w:r>
    </w:p>
    <w:p>
      <w:pPr>
        <w:widowControl/>
        <w:jc w:val="left"/>
        <w:rPr>
          <w:rFonts w:ascii="黑体" w:hAnsi="宋体" w:eastAsia="黑体" w:cs="宋体"/>
          <w:kern w:val="0"/>
          <w:sz w:val="24"/>
        </w:rPr>
      </w:pPr>
      <w:r>
        <w:rPr>
          <w:rFonts w:ascii="黑体" w:hAnsi="宋体" w:eastAsia="黑体" w:cs="宋体"/>
          <w:kern w:val="0"/>
          <w:sz w:val="24"/>
        </w:rPr>
        <w:br w:type="page"/>
      </w:r>
    </w:p>
    <w:p>
      <w:pPr>
        <w:spacing w:line="276" w:lineRule="auto"/>
        <w:rPr>
          <w:rFonts w:ascii="黑体" w:hAnsi="宋体" w:eastAsia="黑体" w:cs="宋体"/>
          <w:kern w:val="0"/>
          <w:sz w:val="24"/>
        </w:rPr>
      </w:pPr>
      <w:r>
        <w:rPr>
          <w:rFonts w:hint="eastAsia" w:ascii="黑体" w:hAnsi="宋体" w:eastAsia="黑体" w:cs="宋体"/>
          <w:kern w:val="0"/>
          <w:sz w:val="24"/>
        </w:rPr>
        <w:t>二</w:t>
      </w:r>
      <w:r>
        <w:rPr>
          <w:rFonts w:ascii="黑体" w:hAnsi="宋体" w:eastAsia="黑体" w:cs="宋体"/>
          <w:kern w:val="0"/>
          <w:sz w:val="24"/>
        </w:rPr>
        <w:t>、</w:t>
      </w:r>
      <w:r>
        <w:rPr>
          <w:rFonts w:hint="eastAsia" w:ascii="黑体" w:hAnsi="宋体" w:eastAsia="黑体" w:cs="宋体"/>
          <w:kern w:val="0"/>
          <w:sz w:val="24"/>
        </w:rPr>
        <w:t>采购</w:t>
      </w:r>
      <w:r>
        <w:rPr>
          <w:rFonts w:ascii="黑体" w:hAnsi="宋体" w:eastAsia="黑体" w:cs="宋体"/>
          <w:kern w:val="0"/>
          <w:sz w:val="24"/>
        </w:rPr>
        <w:t>需求清单</w:t>
      </w:r>
      <w:r>
        <w:rPr>
          <w:rFonts w:hint="eastAsia" w:ascii="黑体" w:hAnsi="宋体" w:eastAsia="黑体" w:cs="宋体"/>
          <w:kern w:val="0"/>
          <w:sz w:val="24"/>
        </w:rPr>
        <w:t>（可根据需求修改清单格式）</w:t>
      </w:r>
    </w:p>
    <w:tbl>
      <w:tblPr>
        <w:tblStyle w:val="16"/>
        <w:tblW w:w="6378" w:type="dxa"/>
        <w:tblInd w:w="250" w:type="dxa"/>
        <w:tblLayout w:type="fixed"/>
        <w:tblCellMar>
          <w:top w:w="0" w:type="dxa"/>
          <w:left w:w="108" w:type="dxa"/>
          <w:bottom w:w="0" w:type="dxa"/>
          <w:right w:w="108" w:type="dxa"/>
        </w:tblCellMar>
      </w:tblPr>
      <w:tblGrid>
        <w:gridCol w:w="709"/>
        <w:gridCol w:w="1871"/>
        <w:gridCol w:w="1956"/>
        <w:gridCol w:w="992"/>
        <w:gridCol w:w="850"/>
      </w:tblGrid>
      <w:tr>
        <w:tblPrEx>
          <w:tblLayout w:type="fixed"/>
          <w:tblCellMar>
            <w:top w:w="0" w:type="dxa"/>
            <w:left w:w="108" w:type="dxa"/>
            <w:bottom w:w="0" w:type="dxa"/>
            <w:right w:w="108" w:type="dxa"/>
          </w:tblCellMar>
        </w:tblPrEx>
        <w:trPr>
          <w:trHeight w:val="645" w:hRule="atLeast"/>
        </w:trPr>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宋体" w:hAnsi="宋体" w:cs="宋体"/>
                <w:color w:val="000000"/>
                <w:kern w:val="0"/>
                <w:szCs w:val="21"/>
              </w:rPr>
            </w:pPr>
            <w:r>
              <w:rPr>
                <w:rFonts w:hint="eastAsia" w:ascii="宋体" w:hAnsi="宋体" w:cs="宋体"/>
                <w:color w:val="000000"/>
                <w:kern w:val="0"/>
                <w:szCs w:val="21"/>
              </w:rPr>
              <w:t>序号</w:t>
            </w:r>
          </w:p>
        </w:tc>
        <w:tc>
          <w:tcPr>
            <w:tcW w:w="1871" w:type="dxa"/>
            <w:tcBorders>
              <w:top w:val="single" w:color="auto" w:sz="4" w:space="0"/>
              <w:left w:val="nil"/>
              <w:bottom w:val="single" w:color="auto" w:sz="4" w:space="0"/>
              <w:right w:val="single" w:color="auto" w:sz="4" w:space="0"/>
            </w:tcBorders>
            <w:vAlign w:val="center"/>
          </w:tcPr>
          <w:p>
            <w:pPr>
              <w:widowControl/>
              <w:spacing w:line="276" w:lineRule="auto"/>
              <w:jc w:val="center"/>
              <w:rPr>
                <w:rFonts w:ascii="宋体" w:hAnsi="宋体" w:cs="宋体"/>
                <w:color w:val="000000"/>
                <w:kern w:val="0"/>
                <w:szCs w:val="21"/>
              </w:rPr>
            </w:pPr>
            <w:r>
              <w:rPr>
                <w:rFonts w:hint="eastAsia" w:ascii="宋体" w:hAnsi="宋体" w:cs="宋体"/>
                <w:color w:val="000000"/>
                <w:kern w:val="0"/>
                <w:szCs w:val="21"/>
              </w:rPr>
              <w:t>名称</w:t>
            </w:r>
          </w:p>
        </w:tc>
        <w:tc>
          <w:tcPr>
            <w:tcW w:w="1956" w:type="dxa"/>
            <w:tcBorders>
              <w:top w:val="single" w:color="auto" w:sz="4" w:space="0"/>
              <w:left w:val="nil"/>
              <w:bottom w:val="single" w:color="auto" w:sz="4" w:space="0"/>
              <w:right w:val="single" w:color="auto" w:sz="4" w:space="0"/>
            </w:tcBorders>
            <w:vAlign w:val="center"/>
          </w:tcPr>
          <w:p>
            <w:pPr>
              <w:widowControl/>
              <w:spacing w:line="276" w:lineRule="auto"/>
              <w:jc w:val="center"/>
              <w:rPr>
                <w:rFonts w:ascii="宋体" w:hAnsi="宋体" w:cs="宋体"/>
                <w:color w:val="000000"/>
                <w:kern w:val="0"/>
                <w:szCs w:val="21"/>
              </w:rPr>
            </w:pPr>
            <w:r>
              <w:rPr>
                <w:rFonts w:hint="eastAsia" w:ascii="宋体" w:hAnsi="宋体" w:cs="宋体"/>
                <w:color w:val="000000"/>
                <w:kern w:val="0"/>
                <w:szCs w:val="21"/>
              </w:rPr>
              <w:t>规格型号</w:t>
            </w:r>
          </w:p>
        </w:tc>
        <w:tc>
          <w:tcPr>
            <w:tcW w:w="992" w:type="dxa"/>
            <w:tcBorders>
              <w:top w:val="single" w:color="auto" w:sz="4" w:space="0"/>
              <w:left w:val="nil"/>
              <w:bottom w:val="single" w:color="auto" w:sz="4" w:space="0"/>
              <w:right w:val="single" w:color="auto" w:sz="4" w:space="0"/>
            </w:tcBorders>
            <w:vAlign w:val="center"/>
          </w:tcPr>
          <w:p>
            <w:pPr>
              <w:widowControl/>
              <w:spacing w:line="276" w:lineRule="auto"/>
              <w:jc w:val="center"/>
              <w:rPr>
                <w:rFonts w:ascii="宋体" w:hAnsi="宋体" w:cs="宋体"/>
                <w:color w:val="000000"/>
                <w:kern w:val="0"/>
                <w:szCs w:val="21"/>
              </w:rPr>
            </w:pPr>
            <w:r>
              <w:rPr>
                <w:rFonts w:hint="eastAsia" w:ascii="宋体" w:hAnsi="宋体" w:cs="宋体"/>
                <w:color w:val="000000"/>
                <w:kern w:val="0"/>
                <w:szCs w:val="21"/>
              </w:rPr>
              <w:t>数量</w:t>
            </w:r>
          </w:p>
        </w:tc>
        <w:tc>
          <w:tcPr>
            <w:tcW w:w="850" w:type="dxa"/>
            <w:tcBorders>
              <w:top w:val="single" w:color="auto" w:sz="4" w:space="0"/>
              <w:left w:val="nil"/>
              <w:bottom w:val="single" w:color="auto" w:sz="4" w:space="0"/>
              <w:right w:val="single" w:color="auto" w:sz="4" w:space="0"/>
            </w:tcBorders>
            <w:vAlign w:val="center"/>
          </w:tcPr>
          <w:p>
            <w:pPr>
              <w:widowControl/>
              <w:spacing w:line="276" w:lineRule="auto"/>
              <w:jc w:val="center"/>
              <w:rPr>
                <w:rFonts w:ascii="宋体" w:hAnsi="宋体" w:cs="宋体"/>
                <w:color w:val="000000"/>
                <w:kern w:val="0"/>
                <w:szCs w:val="21"/>
              </w:rPr>
            </w:pPr>
            <w:r>
              <w:rPr>
                <w:rFonts w:hint="eastAsia" w:ascii="宋体" w:hAnsi="宋体" w:cs="宋体"/>
                <w:color w:val="000000"/>
                <w:kern w:val="0"/>
                <w:szCs w:val="21"/>
              </w:rPr>
              <w:t>备注</w:t>
            </w:r>
          </w:p>
        </w:tc>
      </w:tr>
      <w:tr>
        <w:tblPrEx>
          <w:tblLayout w:type="fixed"/>
          <w:tblCellMar>
            <w:top w:w="0" w:type="dxa"/>
            <w:left w:w="108" w:type="dxa"/>
            <w:bottom w:w="0" w:type="dxa"/>
            <w:right w:w="108" w:type="dxa"/>
          </w:tblCellMar>
        </w:tblPrEx>
        <w:trPr>
          <w:trHeight w:val="645" w:hRule="atLeast"/>
        </w:trPr>
        <w:tc>
          <w:tcPr>
            <w:tcW w:w="709" w:type="dxa"/>
            <w:tcBorders>
              <w:top w:val="nil"/>
              <w:left w:val="single" w:color="auto" w:sz="4" w:space="0"/>
              <w:bottom w:val="single" w:color="auto" w:sz="4" w:space="0"/>
              <w:right w:val="single" w:color="auto" w:sz="4" w:space="0"/>
            </w:tcBorders>
            <w:vAlign w:val="center"/>
          </w:tcPr>
          <w:p>
            <w:pPr>
              <w:widowControl/>
              <w:spacing w:line="276" w:lineRule="auto"/>
              <w:jc w:val="center"/>
              <w:rPr>
                <w:color w:val="000000"/>
                <w:kern w:val="0"/>
                <w:szCs w:val="21"/>
              </w:rPr>
            </w:pPr>
            <w:r>
              <w:rPr>
                <w:color w:val="000000"/>
                <w:kern w:val="0"/>
                <w:szCs w:val="21"/>
              </w:rPr>
              <w:t>　</w:t>
            </w:r>
            <w:r>
              <w:rPr>
                <w:rFonts w:hint="eastAsia"/>
                <w:color w:val="000000"/>
                <w:kern w:val="0"/>
                <w:szCs w:val="21"/>
              </w:rPr>
              <w:t>1</w:t>
            </w:r>
          </w:p>
        </w:tc>
        <w:tc>
          <w:tcPr>
            <w:tcW w:w="1871" w:type="dxa"/>
            <w:tcBorders>
              <w:top w:val="nil"/>
              <w:left w:val="nil"/>
              <w:bottom w:val="single" w:color="auto" w:sz="4" w:space="0"/>
              <w:right w:val="single" w:color="auto" w:sz="4" w:space="0"/>
            </w:tcBorders>
            <w:vAlign w:val="center"/>
          </w:tcPr>
          <w:p>
            <w:pPr>
              <w:widowControl/>
              <w:spacing w:line="276" w:lineRule="auto"/>
              <w:jc w:val="center"/>
              <w:rPr>
                <w:color w:val="000000"/>
                <w:kern w:val="0"/>
                <w:szCs w:val="21"/>
              </w:rPr>
            </w:pPr>
            <w:r>
              <w:rPr>
                <w:color w:val="000000"/>
                <w:kern w:val="0"/>
                <w:szCs w:val="21"/>
              </w:rPr>
              <w:t>　</w:t>
            </w:r>
            <w:r>
              <w:rPr>
                <w:rFonts w:hint="eastAsia" w:cs="楷体"/>
              </w:rPr>
              <w:t>万兆防火墙</w:t>
            </w:r>
          </w:p>
        </w:tc>
        <w:tc>
          <w:tcPr>
            <w:tcW w:w="1956" w:type="dxa"/>
            <w:tcBorders>
              <w:top w:val="nil"/>
              <w:left w:val="nil"/>
              <w:bottom w:val="single" w:color="auto" w:sz="4" w:space="0"/>
              <w:right w:val="single" w:color="auto" w:sz="4" w:space="0"/>
            </w:tcBorders>
            <w:vAlign w:val="center"/>
          </w:tcPr>
          <w:p>
            <w:pPr>
              <w:widowControl/>
              <w:spacing w:line="276" w:lineRule="auto"/>
              <w:jc w:val="center"/>
              <w:rPr>
                <w:color w:val="000000"/>
                <w:kern w:val="0"/>
                <w:szCs w:val="21"/>
              </w:rPr>
            </w:pPr>
            <w:r>
              <w:rPr>
                <w:color w:val="000000"/>
                <w:kern w:val="0"/>
                <w:szCs w:val="21"/>
              </w:rPr>
              <w:t>　</w:t>
            </w:r>
          </w:p>
        </w:tc>
        <w:tc>
          <w:tcPr>
            <w:tcW w:w="992" w:type="dxa"/>
            <w:tcBorders>
              <w:top w:val="nil"/>
              <w:left w:val="nil"/>
              <w:bottom w:val="single" w:color="auto" w:sz="4" w:space="0"/>
              <w:right w:val="single" w:color="auto" w:sz="4" w:space="0"/>
            </w:tcBorders>
            <w:vAlign w:val="center"/>
          </w:tcPr>
          <w:p>
            <w:pPr>
              <w:widowControl/>
              <w:spacing w:line="276" w:lineRule="auto"/>
              <w:jc w:val="center"/>
              <w:rPr>
                <w:color w:val="000000"/>
                <w:kern w:val="0"/>
                <w:szCs w:val="21"/>
              </w:rPr>
            </w:pPr>
            <w:r>
              <w:rPr>
                <w:rFonts w:hint="eastAsia"/>
                <w:color w:val="000000"/>
                <w:kern w:val="0"/>
                <w:szCs w:val="21"/>
              </w:rPr>
              <w:t>1</w:t>
            </w:r>
            <w:r>
              <w:rPr>
                <w:color w:val="000000"/>
                <w:kern w:val="0"/>
                <w:szCs w:val="21"/>
              </w:rPr>
              <w:t>　</w:t>
            </w:r>
          </w:p>
        </w:tc>
        <w:tc>
          <w:tcPr>
            <w:tcW w:w="850" w:type="dxa"/>
            <w:tcBorders>
              <w:top w:val="nil"/>
              <w:left w:val="nil"/>
              <w:bottom w:val="single" w:color="auto" w:sz="4" w:space="0"/>
              <w:right w:val="single" w:color="auto" w:sz="4" w:space="0"/>
            </w:tcBorders>
            <w:vAlign w:val="center"/>
          </w:tcPr>
          <w:p>
            <w:pPr>
              <w:widowControl/>
              <w:spacing w:line="276" w:lineRule="auto"/>
              <w:jc w:val="center"/>
              <w:rPr>
                <w:color w:val="000000"/>
                <w:kern w:val="0"/>
                <w:szCs w:val="21"/>
              </w:rPr>
            </w:pPr>
            <w:r>
              <w:rPr>
                <w:color w:val="000000"/>
                <w:kern w:val="0"/>
                <w:szCs w:val="21"/>
              </w:rPr>
              <w:t>　</w:t>
            </w:r>
          </w:p>
        </w:tc>
      </w:tr>
    </w:tbl>
    <w:p>
      <w:pPr>
        <w:spacing w:line="276" w:lineRule="auto"/>
      </w:pPr>
      <w:bookmarkStart w:id="31" w:name="_GoBack"/>
      <w:bookmarkEnd w:id="31"/>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Cambria">
    <w:panose1 w:val="02040503050406030204"/>
    <w:charset w:val="00"/>
    <w:family w:val="roman"/>
    <w:pitch w:val="default"/>
    <w:sig w:usb0="E00002FF" w:usb1="400004FF" w:usb2="00000000" w:usb3="00000000" w:csb0="2000019F" w:csb1="00000000"/>
  </w:font>
  <w:font w:name="MS Mincho">
    <w:panose1 w:val="02020609040205080304"/>
    <w:charset w:val="80"/>
    <w:family w:val="modern"/>
    <w:pitch w:val="default"/>
    <w:sig w:usb0="E00002FF" w:usb1="6AC7FDFB" w:usb2="00000012" w:usb3="00000000" w:csb0="4002009F" w:csb1="DFD70000"/>
  </w:font>
  <w:font w:name="等线">
    <w:altName w:val="宋体"/>
    <w:panose1 w:val="02010600030101010101"/>
    <w:charset w:val="86"/>
    <w:family w:val="auto"/>
    <w:pitch w:val="default"/>
    <w:sig w:usb0="00000000" w:usb1="00000000" w:usb2="00000016" w:usb3="00000000" w:csb0="0004000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fldChar w:fldCharType="begin"/>
    </w:r>
    <w:r>
      <w:instrText xml:space="preserve">PAGE   \* MERGEFORMAT</w:instrText>
    </w:r>
    <w:r>
      <w:fldChar w:fldCharType="separate"/>
    </w:r>
    <w:r>
      <w:rPr>
        <w:lang w:val="zh-CN"/>
      </w:rPr>
      <w:t>2</w:t>
    </w:r>
    <w:r>
      <w:fldChar w:fldCharType="end"/>
    </w:r>
  </w:p>
  <w:p>
    <w:pPr>
      <w:pStyle w:val="1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16545C"/>
    <w:multiLevelType w:val="multilevel"/>
    <w:tmpl w:val="1316545C"/>
    <w:lvl w:ilvl="0" w:tentative="0">
      <w:start w:val="1"/>
      <w:numFmt w:val="chineseCountingThousand"/>
      <w:pStyle w:val="2"/>
      <w:suff w:val="nothing"/>
      <w:lvlText w:val="第%1章"/>
      <w:lvlJc w:val="left"/>
      <w:pPr>
        <w:ind w:left="0" w:firstLine="0"/>
      </w:pPr>
    </w:lvl>
    <w:lvl w:ilvl="1" w:tentative="0">
      <w:start w:val="1"/>
      <w:numFmt w:val="none"/>
      <w:pStyle w:val="3"/>
      <w:suff w:val="nothing"/>
      <w:lvlText w:val=""/>
      <w:lvlJc w:val="left"/>
      <w:pPr>
        <w:ind w:left="0" w:firstLine="0"/>
      </w:pPr>
    </w:lvl>
    <w:lvl w:ilvl="2" w:tentative="0">
      <w:start w:val="1"/>
      <w:numFmt w:val="none"/>
      <w:pStyle w:val="4"/>
      <w:suff w:val="nothing"/>
      <w:lvlText w:val=""/>
      <w:lvlJc w:val="left"/>
      <w:pPr>
        <w:ind w:left="0" w:firstLine="0"/>
      </w:pPr>
    </w:lvl>
    <w:lvl w:ilvl="3" w:tentative="0">
      <w:start w:val="1"/>
      <w:numFmt w:val="none"/>
      <w:pStyle w:val="5"/>
      <w:suff w:val="nothing"/>
      <w:lvlText w:val=""/>
      <w:lvlJc w:val="left"/>
      <w:pPr>
        <w:ind w:left="0" w:firstLine="0"/>
      </w:pPr>
    </w:lvl>
    <w:lvl w:ilvl="4" w:tentative="0">
      <w:start w:val="1"/>
      <w:numFmt w:val="none"/>
      <w:pStyle w:val="6"/>
      <w:suff w:val="nothing"/>
      <w:lvlText w:val=""/>
      <w:lvlJc w:val="left"/>
      <w:pPr>
        <w:ind w:left="0" w:firstLine="0"/>
      </w:pPr>
    </w:lvl>
    <w:lvl w:ilvl="5" w:tentative="0">
      <w:start w:val="1"/>
      <w:numFmt w:val="none"/>
      <w:pStyle w:val="7"/>
      <w:suff w:val="nothing"/>
      <w:lvlText w:val=""/>
      <w:lvlJc w:val="left"/>
      <w:pPr>
        <w:ind w:left="0" w:firstLine="0"/>
      </w:pPr>
    </w:lvl>
    <w:lvl w:ilvl="6" w:tentative="0">
      <w:start w:val="1"/>
      <w:numFmt w:val="none"/>
      <w:pStyle w:val="8"/>
      <w:suff w:val="nothing"/>
      <w:lvlText w:val=""/>
      <w:lvlJc w:val="left"/>
      <w:pPr>
        <w:ind w:left="0" w:firstLine="0"/>
      </w:pPr>
    </w:lvl>
    <w:lvl w:ilvl="7" w:tentative="0">
      <w:start w:val="1"/>
      <w:numFmt w:val="none"/>
      <w:pStyle w:val="9"/>
      <w:suff w:val="nothing"/>
      <w:lvlText w:val=""/>
      <w:lvlJc w:val="left"/>
      <w:pPr>
        <w:ind w:left="0" w:firstLine="0"/>
      </w:pPr>
    </w:lvl>
    <w:lvl w:ilvl="8" w:tentative="0">
      <w:start w:val="1"/>
      <w:numFmt w:val="none"/>
      <w:pStyle w:val="10"/>
      <w:suff w:val="nothing"/>
      <w:lvlText w:val=""/>
      <w:lvlJc w:val="left"/>
      <w:pPr>
        <w:ind w:left="0" w:firstLine="0"/>
      </w:pPr>
    </w:lvl>
  </w:abstractNum>
  <w:abstractNum w:abstractNumId="1">
    <w:nsid w:val="424F0E1F"/>
    <w:multiLevelType w:val="multilevel"/>
    <w:tmpl w:val="424F0E1F"/>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5AD32C3"/>
    <w:multiLevelType w:val="multilevel"/>
    <w:tmpl w:val="45AD32C3"/>
    <w:lvl w:ilvl="0" w:tentative="0">
      <w:start w:val="1"/>
      <w:numFmt w:val="japaneseCounting"/>
      <w:lvlText w:val="%1、"/>
      <w:lvlJc w:val="left"/>
      <w:pPr>
        <w:ind w:left="450" w:hanging="45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4EE05E0"/>
    <w:multiLevelType w:val="multilevel"/>
    <w:tmpl w:val="54EE05E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6155291F"/>
    <w:multiLevelType w:val="multilevel"/>
    <w:tmpl w:val="6155291F"/>
    <w:lvl w:ilvl="0" w:tentative="0">
      <w:start w:val="1"/>
      <w:numFmt w:val="decimal"/>
      <w:pStyle w:val="22"/>
      <w:lvlText w:val="%1."/>
      <w:lvlJc w:val="left"/>
      <w:pPr>
        <w:ind w:left="425" w:hanging="425"/>
      </w:pPr>
      <w:rPr>
        <w:rFonts w:hint="default"/>
      </w:rPr>
    </w:lvl>
    <w:lvl w:ilvl="1" w:tentative="0">
      <w:start w:val="1"/>
      <w:numFmt w:val="decimal"/>
      <w:pStyle w:val="23"/>
      <w:lvlText w:val="%1.%2."/>
      <w:lvlJc w:val="left"/>
      <w:pPr>
        <w:ind w:left="567" w:hanging="567"/>
      </w:pPr>
      <w:rPr>
        <w:rFonts w:hint="default"/>
      </w:rPr>
    </w:lvl>
    <w:lvl w:ilvl="2" w:tentative="0">
      <w:start w:val="1"/>
      <w:numFmt w:val="decimal"/>
      <w:pStyle w:val="24"/>
      <w:lvlText w:val="%1.%2.%3."/>
      <w:lvlJc w:val="left"/>
      <w:pPr>
        <w:ind w:left="709" w:hanging="709"/>
      </w:pPr>
      <w:rPr>
        <w:rFonts w:hint="default"/>
      </w:rPr>
    </w:lvl>
    <w:lvl w:ilvl="3" w:tentative="0">
      <w:start w:val="1"/>
      <w:numFmt w:val="decimal"/>
      <w:pStyle w:val="25"/>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5">
    <w:nsid w:val="622A41B2"/>
    <w:multiLevelType w:val="multilevel"/>
    <w:tmpl w:val="622A41B2"/>
    <w:lvl w:ilvl="0" w:tentative="0">
      <w:start w:val="1"/>
      <w:numFmt w:val="decimal"/>
      <w:lvlText w:val="%1"/>
      <w:lvlJc w:val="left"/>
      <w:pPr>
        <w:ind w:left="425" w:hanging="425"/>
      </w:p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6">
    <w:nsid w:val="7E2B018E"/>
    <w:multiLevelType w:val="multilevel"/>
    <w:tmpl w:val="7E2B018E"/>
    <w:lvl w:ilvl="0" w:tentative="0">
      <w:start w:val="1"/>
      <w:numFmt w:val="chineseCountingThousand"/>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4"/>
  </w:num>
  <w:num w:numId="3">
    <w:abstractNumId w:val="2"/>
  </w:num>
  <w:num w:numId="4">
    <w:abstractNumId w:val="5"/>
  </w:num>
  <w:num w:numId="5">
    <w:abstractNumId w:val="6"/>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4F47"/>
    <w:rsid w:val="0000614A"/>
    <w:rsid w:val="000154D8"/>
    <w:rsid w:val="00033EBA"/>
    <w:rsid w:val="0008063A"/>
    <w:rsid w:val="000873E6"/>
    <w:rsid w:val="000D71D2"/>
    <w:rsid w:val="000E1EBC"/>
    <w:rsid w:val="00114B47"/>
    <w:rsid w:val="00136481"/>
    <w:rsid w:val="00155B14"/>
    <w:rsid w:val="001A5472"/>
    <w:rsid w:val="001E5746"/>
    <w:rsid w:val="00211C54"/>
    <w:rsid w:val="002123C0"/>
    <w:rsid w:val="0026620F"/>
    <w:rsid w:val="002870E7"/>
    <w:rsid w:val="002E2A55"/>
    <w:rsid w:val="00301119"/>
    <w:rsid w:val="003015ED"/>
    <w:rsid w:val="0030639B"/>
    <w:rsid w:val="003807F2"/>
    <w:rsid w:val="003B2B59"/>
    <w:rsid w:val="003D1FE4"/>
    <w:rsid w:val="003E4746"/>
    <w:rsid w:val="003F3126"/>
    <w:rsid w:val="00401614"/>
    <w:rsid w:val="0041719B"/>
    <w:rsid w:val="00434352"/>
    <w:rsid w:val="004D09B5"/>
    <w:rsid w:val="004D4F47"/>
    <w:rsid w:val="004E388B"/>
    <w:rsid w:val="004F1A0D"/>
    <w:rsid w:val="004F3193"/>
    <w:rsid w:val="004F5879"/>
    <w:rsid w:val="00574276"/>
    <w:rsid w:val="00577DD4"/>
    <w:rsid w:val="00581BAF"/>
    <w:rsid w:val="00595F03"/>
    <w:rsid w:val="005A59E5"/>
    <w:rsid w:val="005C1C67"/>
    <w:rsid w:val="005C7472"/>
    <w:rsid w:val="005E0AF8"/>
    <w:rsid w:val="00661EA7"/>
    <w:rsid w:val="0066262C"/>
    <w:rsid w:val="00696293"/>
    <w:rsid w:val="006979CF"/>
    <w:rsid w:val="006D247D"/>
    <w:rsid w:val="006F3A01"/>
    <w:rsid w:val="00725C54"/>
    <w:rsid w:val="007277FB"/>
    <w:rsid w:val="0094160F"/>
    <w:rsid w:val="00966FA6"/>
    <w:rsid w:val="00971B50"/>
    <w:rsid w:val="009738D6"/>
    <w:rsid w:val="00980115"/>
    <w:rsid w:val="009F0CE5"/>
    <w:rsid w:val="00A24AF3"/>
    <w:rsid w:val="00A72B3B"/>
    <w:rsid w:val="00A855B4"/>
    <w:rsid w:val="00A96A69"/>
    <w:rsid w:val="00B11CF6"/>
    <w:rsid w:val="00B56B87"/>
    <w:rsid w:val="00B61E46"/>
    <w:rsid w:val="00B74AF7"/>
    <w:rsid w:val="00B950A5"/>
    <w:rsid w:val="00BE1795"/>
    <w:rsid w:val="00BE54BD"/>
    <w:rsid w:val="00C03673"/>
    <w:rsid w:val="00C24C99"/>
    <w:rsid w:val="00C43FA2"/>
    <w:rsid w:val="00C6412E"/>
    <w:rsid w:val="00D03D65"/>
    <w:rsid w:val="00D266D2"/>
    <w:rsid w:val="00DF51A2"/>
    <w:rsid w:val="00E13FB0"/>
    <w:rsid w:val="00E15AE3"/>
    <w:rsid w:val="00E239DC"/>
    <w:rsid w:val="00E72D30"/>
    <w:rsid w:val="00E83639"/>
    <w:rsid w:val="00E92EED"/>
    <w:rsid w:val="00EA4D65"/>
    <w:rsid w:val="00EF78C3"/>
    <w:rsid w:val="00F25D42"/>
    <w:rsid w:val="00F47E99"/>
    <w:rsid w:val="00F7503E"/>
    <w:rsid w:val="00F86BBF"/>
    <w:rsid w:val="00FC2E06"/>
    <w:rsid w:val="00FC5DDF"/>
    <w:rsid w:val="00FD2C84"/>
    <w:rsid w:val="00FF66A8"/>
    <w:rsid w:val="4F453AA3"/>
    <w:rsid w:val="7F5761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semiHidden="0" w:name="heading 3"/>
    <w:lsdException w:qFormat="1" w:uiPriority="0"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
    <w:qFormat/>
    <w:uiPriority w:val="9"/>
    <w:pPr>
      <w:keepNext/>
      <w:keepLines/>
      <w:widowControl/>
      <w:numPr>
        <w:ilvl w:val="0"/>
        <w:numId w:val="1"/>
      </w:numPr>
      <w:spacing w:before="340" w:after="330" w:line="578" w:lineRule="auto"/>
      <w:jc w:val="left"/>
      <w:outlineLvl w:val="0"/>
    </w:pPr>
    <w:rPr>
      <w:rFonts w:ascii="宋体" w:hAnsi="宋体" w:cs="宋体"/>
      <w:b/>
      <w:bCs/>
      <w:kern w:val="44"/>
      <w:sz w:val="44"/>
      <w:szCs w:val="44"/>
    </w:rPr>
  </w:style>
  <w:style w:type="paragraph" w:styleId="3">
    <w:name w:val="heading 2"/>
    <w:basedOn w:val="1"/>
    <w:next w:val="1"/>
    <w:link w:val="29"/>
    <w:unhideWhenUsed/>
    <w:qFormat/>
    <w:uiPriority w:val="0"/>
    <w:pPr>
      <w:keepNext/>
      <w:keepLines/>
      <w:widowControl/>
      <w:numPr>
        <w:ilvl w:val="1"/>
        <w:numId w:val="1"/>
      </w:numPr>
      <w:spacing w:before="260" w:after="260" w:line="416" w:lineRule="auto"/>
      <w:jc w:val="left"/>
      <w:outlineLvl w:val="1"/>
    </w:pPr>
    <w:rPr>
      <w:rFonts w:asciiTheme="majorHAnsi" w:hAnsiTheme="majorHAnsi" w:eastAsiaTheme="majorEastAsia" w:cstheme="majorBidi"/>
      <w:b/>
      <w:bCs/>
      <w:kern w:val="0"/>
      <w:sz w:val="32"/>
      <w:szCs w:val="32"/>
    </w:rPr>
  </w:style>
  <w:style w:type="paragraph" w:styleId="4">
    <w:name w:val="heading 3"/>
    <w:basedOn w:val="1"/>
    <w:next w:val="1"/>
    <w:link w:val="30"/>
    <w:unhideWhenUsed/>
    <w:qFormat/>
    <w:uiPriority w:val="0"/>
    <w:pPr>
      <w:keepNext/>
      <w:keepLines/>
      <w:widowControl/>
      <w:numPr>
        <w:ilvl w:val="2"/>
        <w:numId w:val="1"/>
      </w:numPr>
      <w:spacing w:before="260" w:after="260" w:line="416" w:lineRule="auto"/>
      <w:jc w:val="left"/>
      <w:outlineLvl w:val="2"/>
    </w:pPr>
    <w:rPr>
      <w:rFonts w:ascii="宋体" w:hAnsi="宋体" w:cs="宋体"/>
      <w:b/>
      <w:bCs/>
      <w:kern w:val="0"/>
      <w:sz w:val="32"/>
      <w:szCs w:val="32"/>
    </w:rPr>
  </w:style>
  <w:style w:type="paragraph" w:styleId="5">
    <w:name w:val="heading 4"/>
    <w:basedOn w:val="1"/>
    <w:next w:val="1"/>
    <w:link w:val="31"/>
    <w:unhideWhenUsed/>
    <w:qFormat/>
    <w:uiPriority w:val="0"/>
    <w:pPr>
      <w:keepNext/>
      <w:keepLines/>
      <w:widowControl/>
      <w:numPr>
        <w:ilvl w:val="3"/>
        <w:numId w:val="1"/>
      </w:numPr>
      <w:spacing w:before="280" w:after="290" w:line="376" w:lineRule="auto"/>
      <w:jc w:val="left"/>
      <w:outlineLvl w:val="3"/>
    </w:pPr>
    <w:rPr>
      <w:rFonts w:asciiTheme="majorHAnsi" w:hAnsiTheme="majorHAnsi" w:eastAsiaTheme="majorEastAsia" w:cstheme="majorBidi"/>
      <w:b/>
      <w:bCs/>
      <w:kern w:val="0"/>
      <w:sz w:val="28"/>
      <w:szCs w:val="28"/>
    </w:rPr>
  </w:style>
  <w:style w:type="paragraph" w:styleId="6">
    <w:name w:val="heading 5"/>
    <w:basedOn w:val="1"/>
    <w:next w:val="1"/>
    <w:link w:val="32"/>
    <w:unhideWhenUsed/>
    <w:qFormat/>
    <w:uiPriority w:val="9"/>
    <w:pPr>
      <w:keepNext/>
      <w:keepLines/>
      <w:widowControl/>
      <w:numPr>
        <w:ilvl w:val="4"/>
        <w:numId w:val="1"/>
      </w:numPr>
      <w:spacing w:before="280" w:after="290" w:line="376" w:lineRule="auto"/>
      <w:jc w:val="left"/>
      <w:outlineLvl w:val="4"/>
    </w:pPr>
    <w:rPr>
      <w:rFonts w:ascii="宋体" w:hAnsi="宋体" w:cs="宋体"/>
      <w:b/>
      <w:bCs/>
      <w:kern w:val="0"/>
      <w:sz w:val="28"/>
      <w:szCs w:val="28"/>
    </w:rPr>
  </w:style>
  <w:style w:type="paragraph" w:styleId="7">
    <w:name w:val="heading 6"/>
    <w:basedOn w:val="1"/>
    <w:next w:val="1"/>
    <w:link w:val="33"/>
    <w:semiHidden/>
    <w:unhideWhenUsed/>
    <w:qFormat/>
    <w:uiPriority w:val="9"/>
    <w:pPr>
      <w:keepNext/>
      <w:keepLines/>
      <w:widowControl/>
      <w:numPr>
        <w:ilvl w:val="5"/>
        <w:numId w:val="1"/>
      </w:numPr>
      <w:spacing w:before="240" w:after="64" w:line="320" w:lineRule="auto"/>
      <w:jc w:val="left"/>
      <w:outlineLvl w:val="5"/>
    </w:pPr>
    <w:rPr>
      <w:rFonts w:asciiTheme="majorHAnsi" w:hAnsiTheme="majorHAnsi" w:eastAsiaTheme="majorEastAsia" w:cstheme="majorBidi"/>
      <w:b/>
      <w:bCs/>
      <w:kern w:val="0"/>
      <w:sz w:val="24"/>
    </w:rPr>
  </w:style>
  <w:style w:type="paragraph" w:styleId="8">
    <w:name w:val="heading 7"/>
    <w:basedOn w:val="1"/>
    <w:next w:val="1"/>
    <w:link w:val="34"/>
    <w:semiHidden/>
    <w:unhideWhenUsed/>
    <w:qFormat/>
    <w:uiPriority w:val="9"/>
    <w:pPr>
      <w:keepNext/>
      <w:keepLines/>
      <w:widowControl/>
      <w:numPr>
        <w:ilvl w:val="6"/>
        <w:numId w:val="1"/>
      </w:numPr>
      <w:spacing w:before="240" w:after="64" w:line="320" w:lineRule="auto"/>
      <w:jc w:val="left"/>
      <w:outlineLvl w:val="6"/>
    </w:pPr>
    <w:rPr>
      <w:rFonts w:ascii="宋体" w:hAnsi="宋体" w:cs="宋体"/>
      <w:b/>
      <w:bCs/>
      <w:kern w:val="0"/>
      <w:sz w:val="24"/>
    </w:rPr>
  </w:style>
  <w:style w:type="paragraph" w:styleId="9">
    <w:name w:val="heading 8"/>
    <w:basedOn w:val="1"/>
    <w:next w:val="1"/>
    <w:link w:val="35"/>
    <w:semiHidden/>
    <w:unhideWhenUsed/>
    <w:qFormat/>
    <w:uiPriority w:val="9"/>
    <w:pPr>
      <w:keepNext/>
      <w:keepLines/>
      <w:widowControl/>
      <w:numPr>
        <w:ilvl w:val="7"/>
        <w:numId w:val="1"/>
      </w:numPr>
      <w:spacing w:before="240" w:after="64" w:line="320" w:lineRule="auto"/>
      <w:jc w:val="left"/>
      <w:outlineLvl w:val="7"/>
    </w:pPr>
    <w:rPr>
      <w:rFonts w:asciiTheme="majorHAnsi" w:hAnsiTheme="majorHAnsi" w:eastAsiaTheme="majorEastAsia" w:cstheme="majorBidi"/>
      <w:kern w:val="0"/>
      <w:sz w:val="24"/>
    </w:rPr>
  </w:style>
  <w:style w:type="paragraph" w:styleId="10">
    <w:name w:val="heading 9"/>
    <w:basedOn w:val="1"/>
    <w:next w:val="1"/>
    <w:link w:val="36"/>
    <w:semiHidden/>
    <w:unhideWhenUsed/>
    <w:qFormat/>
    <w:uiPriority w:val="9"/>
    <w:pPr>
      <w:keepNext/>
      <w:keepLines/>
      <w:widowControl/>
      <w:numPr>
        <w:ilvl w:val="8"/>
        <w:numId w:val="1"/>
      </w:numPr>
      <w:spacing w:before="240" w:after="64" w:line="320" w:lineRule="auto"/>
      <w:jc w:val="left"/>
      <w:outlineLvl w:val="8"/>
    </w:pPr>
    <w:rPr>
      <w:rFonts w:asciiTheme="majorHAnsi" w:hAnsiTheme="majorHAnsi" w:eastAsiaTheme="majorEastAsia" w:cstheme="majorBidi"/>
      <w:kern w:val="0"/>
      <w:szCs w:val="21"/>
    </w:rPr>
  </w:style>
  <w:style w:type="character" w:default="1" w:styleId="15">
    <w:name w:val="Default Paragraph Font"/>
    <w:semiHidden/>
    <w:unhideWhenUsed/>
    <w:uiPriority w:val="1"/>
  </w:style>
  <w:style w:type="table" w:default="1" w:styleId="16">
    <w:name w:val="Normal Table"/>
    <w:semiHidden/>
    <w:unhideWhenUsed/>
    <w:qFormat/>
    <w:uiPriority w:val="99"/>
    <w:tblPr>
      <w:tblLayout w:type="fixed"/>
      <w:tblCellMar>
        <w:top w:w="0" w:type="dxa"/>
        <w:left w:w="108" w:type="dxa"/>
        <w:bottom w:w="0" w:type="dxa"/>
        <w:right w:w="108" w:type="dxa"/>
      </w:tblCellMar>
    </w:tblPr>
  </w:style>
  <w:style w:type="paragraph" w:styleId="11">
    <w:name w:val="Normal Indent"/>
    <w:basedOn w:val="1"/>
    <w:link w:val="38"/>
    <w:qFormat/>
    <w:uiPriority w:val="0"/>
    <w:pPr>
      <w:spacing w:line="360" w:lineRule="auto"/>
      <w:ind w:firstLine="420" w:firstLineChars="200"/>
    </w:pPr>
    <w:rPr>
      <w:rFonts w:ascii="Calibri" w:hAnsi="Calibri"/>
      <w:sz w:val="24"/>
      <w:szCs w:val="20"/>
    </w:rPr>
  </w:style>
  <w:style w:type="paragraph" w:styleId="12">
    <w:name w:val="footer"/>
    <w:basedOn w:val="1"/>
    <w:link w:val="18"/>
    <w:unhideWhenUsed/>
    <w:qFormat/>
    <w:uiPriority w:val="99"/>
    <w:pPr>
      <w:tabs>
        <w:tab w:val="center" w:pos="4153"/>
        <w:tab w:val="right" w:pos="8306"/>
      </w:tabs>
      <w:snapToGrid w:val="0"/>
      <w:jc w:val="left"/>
    </w:pPr>
    <w:rPr>
      <w:rFonts w:ascii="Calibri" w:hAnsi="Calibri"/>
      <w:sz w:val="18"/>
      <w:szCs w:val="18"/>
    </w:rPr>
  </w:style>
  <w:style w:type="paragraph" w:styleId="13">
    <w:name w:val="header"/>
    <w:basedOn w:val="1"/>
    <w:link w:val="19"/>
    <w:unhideWhenUsed/>
    <w:uiPriority w:val="99"/>
    <w:pPr>
      <w:pBdr>
        <w:bottom w:val="single" w:color="auto" w:sz="6" w:space="1"/>
      </w:pBdr>
      <w:tabs>
        <w:tab w:val="center" w:pos="4153"/>
        <w:tab w:val="right" w:pos="8306"/>
      </w:tabs>
      <w:snapToGrid w:val="0"/>
      <w:jc w:val="center"/>
    </w:pPr>
    <w:rPr>
      <w:rFonts w:ascii="Calibri" w:hAnsi="Calibri"/>
      <w:sz w:val="18"/>
      <w:szCs w:val="18"/>
    </w:rPr>
  </w:style>
  <w:style w:type="paragraph" w:styleId="14">
    <w:name w:val="Body Text 2"/>
    <w:basedOn w:val="1"/>
    <w:link w:val="21"/>
    <w:qFormat/>
    <w:uiPriority w:val="0"/>
    <w:pPr>
      <w:spacing w:after="120" w:line="360" w:lineRule="auto"/>
    </w:pPr>
    <w:rPr>
      <w:rFonts w:ascii="Calibri" w:hAnsi="Calibri"/>
      <w:sz w:val="24"/>
      <w:szCs w:val="22"/>
    </w:rPr>
  </w:style>
  <w:style w:type="table" w:styleId="17">
    <w:name w:val="Table Grid"/>
    <w:basedOn w:val="1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8">
    <w:name w:val="页脚 字符1"/>
    <w:link w:val="12"/>
    <w:qFormat/>
    <w:uiPriority w:val="99"/>
    <w:rPr>
      <w:sz w:val="18"/>
      <w:szCs w:val="18"/>
    </w:rPr>
  </w:style>
  <w:style w:type="character" w:customStyle="1" w:styleId="19">
    <w:name w:val="页眉 字符"/>
    <w:link w:val="13"/>
    <w:qFormat/>
    <w:uiPriority w:val="99"/>
    <w:rPr>
      <w:sz w:val="18"/>
      <w:szCs w:val="18"/>
    </w:rPr>
  </w:style>
  <w:style w:type="paragraph" w:customStyle="1" w:styleId="20">
    <w:name w:val="正文 + 12"/>
    <w:basedOn w:val="1"/>
    <w:qFormat/>
    <w:uiPriority w:val="0"/>
    <w:rPr>
      <w:sz w:val="28"/>
      <w:szCs w:val="28"/>
    </w:rPr>
  </w:style>
  <w:style w:type="character" w:customStyle="1" w:styleId="21">
    <w:name w:val="正文文本 2 字符"/>
    <w:link w:val="14"/>
    <w:qFormat/>
    <w:uiPriority w:val="0"/>
    <w:rPr>
      <w:kern w:val="2"/>
      <w:sz w:val="24"/>
      <w:szCs w:val="22"/>
    </w:rPr>
  </w:style>
  <w:style w:type="paragraph" w:customStyle="1" w:styleId="22">
    <w:name w:val="1"/>
    <w:basedOn w:val="1"/>
    <w:qFormat/>
    <w:uiPriority w:val="0"/>
    <w:pPr>
      <w:widowControl/>
      <w:numPr>
        <w:ilvl w:val="0"/>
        <w:numId w:val="2"/>
      </w:numPr>
      <w:snapToGrid w:val="0"/>
      <w:spacing w:before="50" w:beforeLines="50" w:line="360" w:lineRule="auto"/>
      <w:jc w:val="left"/>
      <w:outlineLvl w:val="0"/>
    </w:pPr>
    <w:rPr>
      <w:b/>
      <w:sz w:val="28"/>
      <w:szCs w:val="32"/>
    </w:rPr>
  </w:style>
  <w:style w:type="paragraph" w:customStyle="1" w:styleId="23">
    <w:name w:val="2"/>
    <w:basedOn w:val="22"/>
    <w:qFormat/>
    <w:uiPriority w:val="0"/>
    <w:pPr>
      <w:numPr>
        <w:ilvl w:val="1"/>
      </w:numPr>
      <w:ind w:left="0" w:firstLine="280" w:firstLineChars="50"/>
      <w:outlineLvl w:val="1"/>
    </w:pPr>
    <w:rPr>
      <w:rFonts w:eastAsia="Cambria" w:cs="MS Mincho"/>
      <w:szCs w:val="30"/>
    </w:rPr>
  </w:style>
  <w:style w:type="paragraph" w:customStyle="1" w:styleId="24">
    <w:name w:val="3"/>
    <w:basedOn w:val="23"/>
    <w:link w:val="26"/>
    <w:qFormat/>
    <w:uiPriority w:val="0"/>
    <w:pPr>
      <w:numPr>
        <w:ilvl w:val="2"/>
      </w:numPr>
      <w:ind w:left="0" w:firstLine="227"/>
      <w:outlineLvl w:val="2"/>
    </w:pPr>
    <w:rPr>
      <w:rFonts w:ascii="Calibri" w:hAnsi="Calibri" w:cs="Times New Roman"/>
      <w:sz w:val="24"/>
      <w:szCs w:val="24"/>
    </w:rPr>
  </w:style>
  <w:style w:type="paragraph" w:customStyle="1" w:styleId="25">
    <w:name w:val="4"/>
    <w:basedOn w:val="24"/>
    <w:qFormat/>
    <w:uiPriority w:val="0"/>
    <w:pPr>
      <w:numPr>
        <w:ilvl w:val="3"/>
      </w:numPr>
      <w:ind w:left="360" w:leftChars="150" w:hanging="420"/>
      <w:outlineLvl w:val="3"/>
    </w:pPr>
  </w:style>
  <w:style w:type="character" w:customStyle="1" w:styleId="26">
    <w:name w:val="3 Char"/>
    <w:link w:val="24"/>
    <w:qFormat/>
    <w:uiPriority w:val="0"/>
    <w:rPr>
      <w:rFonts w:eastAsia="Cambria"/>
      <w:b/>
      <w:kern w:val="2"/>
      <w:sz w:val="24"/>
      <w:szCs w:val="24"/>
    </w:rPr>
  </w:style>
  <w:style w:type="character" w:customStyle="1" w:styleId="27">
    <w:name w:val="页脚 字符"/>
    <w:qFormat/>
    <w:uiPriority w:val="99"/>
  </w:style>
  <w:style w:type="character" w:customStyle="1" w:styleId="28">
    <w:name w:val="标题 1 字符"/>
    <w:basedOn w:val="15"/>
    <w:link w:val="2"/>
    <w:qFormat/>
    <w:uiPriority w:val="9"/>
    <w:rPr>
      <w:rFonts w:ascii="宋体" w:hAnsi="宋体" w:cs="宋体"/>
      <w:b/>
      <w:bCs/>
      <w:kern w:val="44"/>
      <w:sz w:val="44"/>
      <w:szCs w:val="44"/>
    </w:rPr>
  </w:style>
  <w:style w:type="character" w:customStyle="1" w:styleId="29">
    <w:name w:val="标题 2 字符"/>
    <w:basedOn w:val="15"/>
    <w:link w:val="3"/>
    <w:uiPriority w:val="0"/>
    <w:rPr>
      <w:rFonts w:asciiTheme="majorHAnsi" w:hAnsiTheme="majorHAnsi" w:eastAsiaTheme="majorEastAsia" w:cstheme="majorBidi"/>
      <w:b/>
      <w:bCs/>
      <w:sz w:val="32"/>
      <w:szCs w:val="32"/>
    </w:rPr>
  </w:style>
  <w:style w:type="character" w:customStyle="1" w:styleId="30">
    <w:name w:val="标题 3 字符"/>
    <w:basedOn w:val="15"/>
    <w:link w:val="4"/>
    <w:qFormat/>
    <w:uiPriority w:val="0"/>
    <w:rPr>
      <w:rFonts w:ascii="宋体" w:hAnsi="宋体" w:cs="宋体"/>
      <w:b/>
      <w:bCs/>
      <w:sz w:val="32"/>
      <w:szCs w:val="32"/>
    </w:rPr>
  </w:style>
  <w:style w:type="character" w:customStyle="1" w:styleId="31">
    <w:name w:val="标题 4 字符"/>
    <w:basedOn w:val="15"/>
    <w:link w:val="5"/>
    <w:uiPriority w:val="0"/>
    <w:rPr>
      <w:rFonts w:asciiTheme="majorHAnsi" w:hAnsiTheme="majorHAnsi" w:eastAsiaTheme="majorEastAsia" w:cstheme="majorBidi"/>
      <w:b/>
      <w:bCs/>
      <w:sz w:val="28"/>
      <w:szCs w:val="28"/>
    </w:rPr>
  </w:style>
  <w:style w:type="character" w:customStyle="1" w:styleId="32">
    <w:name w:val="标题 5 字符"/>
    <w:basedOn w:val="15"/>
    <w:link w:val="6"/>
    <w:qFormat/>
    <w:uiPriority w:val="9"/>
    <w:rPr>
      <w:rFonts w:ascii="宋体" w:hAnsi="宋体" w:cs="宋体"/>
      <w:b/>
      <w:bCs/>
      <w:sz w:val="28"/>
      <w:szCs w:val="28"/>
    </w:rPr>
  </w:style>
  <w:style w:type="character" w:customStyle="1" w:styleId="33">
    <w:name w:val="标题 6 字符"/>
    <w:basedOn w:val="15"/>
    <w:link w:val="7"/>
    <w:semiHidden/>
    <w:qFormat/>
    <w:uiPriority w:val="9"/>
    <w:rPr>
      <w:rFonts w:asciiTheme="majorHAnsi" w:hAnsiTheme="majorHAnsi" w:eastAsiaTheme="majorEastAsia" w:cstheme="majorBidi"/>
      <w:b/>
      <w:bCs/>
      <w:sz w:val="24"/>
      <w:szCs w:val="24"/>
    </w:rPr>
  </w:style>
  <w:style w:type="character" w:customStyle="1" w:styleId="34">
    <w:name w:val="标题 7 字符"/>
    <w:basedOn w:val="15"/>
    <w:link w:val="8"/>
    <w:semiHidden/>
    <w:qFormat/>
    <w:uiPriority w:val="9"/>
    <w:rPr>
      <w:rFonts w:ascii="宋体" w:hAnsi="宋体" w:cs="宋体"/>
      <w:b/>
      <w:bCs/>
      <w:sz w:val="24"/>
      <w:szCs w:val="24"/>
    </w:rPr>
  </w:style>
  <w:style w:type="character" w:customStyle="1" w:styleId="35">
    <w:name w:val="标题 8 字符"/>
    <w:basedOn w:val="15"/>
    <w:link w:val="9"/>
    <w:semiHidden/>
    <w:uiPriority w:val="9"/>
    <w:rPr>
      <w:rFonts w:asciiTheme="majorHAnsi" w:hAnsiTheme="majorHAnsi" w:eastAsiaTheme="majorEastAsia" w:cstheme="majorBidi"/>
      <w:sz w:val="24"/>
      <w:szCs w:val="24"/>
    </w:rPr>
  </w:style>
  <w:style w:type="character" w:customStyle="1" w:styleId="36">
    <w:name w:val="标题 9 字符"/>
    <w:basedOn w:val="15"/>
    <w:link w:val="10"/>
    <w:semiHidden/>
    <w:uiPriority w:val="9"/>
    <w:rPr>
      <w:rFonts w:asciiTheme="majorHAnsi" w:hAnsiTheme="majorHAnsi" w:eastAsiaTheme="majorEastAsia" w:cstheme="majorBidi"/>
      <w:sz w:val="21"/>
      <w:szCs w:val="21"/>
    </w:rPr>
  </w:style>
  <w:style w:type="paragraph" w:styleId="37">
    <w:name w:val="List Paragraph"/>
    <w:basedOn w:val="1"/>
    <w:link w:val="39"/>
    <w:qFormat/>
    <w:uiPriority w:val="34"/>
    <w:pPr>
      <w:widowControl/>
      <w:ind w:firstLine="420" w:firstLineChars="200"/>
      <w:jc w:val="left"/>
    </w:pPr>
    <w:rPr>
      <w:rFonts w:ascii="宋体" w:hAnsi="宋体" w:cs="宋体"/>
      <w:kern w:val="0"/>
      <w:sz w:val="24"/>
    </w:rPr>
  </w:style>
  <w:style w:type="character" w:customStyle="1" w:styleId="38">
    <w:name w:val="正文缩进 字符"/>
    <w:link w:val="11"/>
    <w:uiPriority w:val="0"/>
    <w:rPr>
      <w:kern w:val="2"/>
      <w:sz w:val="24"/>
    </w:rPr>
  </w:style>
  <w:style w:type="character" w:customStyle="1" w:styleId="39">
    <w:name w:val="列出段落 字符"/>
    <w:link w:val="37"/>
    <w:locked/>
    <w:uiPriority w:val="34"/>
    <w:rPr>
      <w:rFonts w:ascii="宋体" w:hAnsi="宋体" w:cs="宋体"/>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http://www.deepbbs.org</Company>
  <Pages>5</Pages>
  <Words>502</Words>
  <Characters>2863</Characters>
  <Lines>23</Lines>
  <Paragraphs>6</Paragraphs>
  <TotalTime>0</TotalTime>
  <ScaleCrop>false</ScaleCrop>
  <LinksUpToDate>false</LinksUpToDate>
  <CharactersWithSpaces>3359</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2021-10-14T05:54:00Z</dcterms:created>
  <dc:creator>sta-farmer</dc:creator>
  <cp:lastModifiedBy>crane</cp:lastModifiedBy>
  <dcterms:modified xsi:type="dcterms:W3CDTF">2021-10-18T01:23:36Z</dcterms:modified>
  <dc:title>上海音乐学院委托招投标申请表</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